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b/>
          <w:color w:val="1F4E78"/>
          <w:sz w:val="60"/>
        </w:rPr>
        <w:t>EquityLens</w:t>
      </w:r>
    </w:p>
    <w:p>
      <w:pPr>
        <w:jc w:val="center"/>
      </w:pPr>
      <w:r>
        <w:rPr>
          <w:sz w:val="32"/>
        </w:rPr>
        <w:t>Project Specification</w:t>
      </w:r>
    </w:p>
    <w:p>
      <w:pPr>
        <w:jc w:val="center"/>
      </w:pPr>
      <w:r>
        <w:rPr>
          <w:i/>
          <w:color w:val="505050"/>
        </w:rPr>
        <w:t>Explainable ASX analytics and probabilistic market forecasting</w:t>
      </w:r>
    </w:p>
    <w:p>
      <w:r>
        <w:br/>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blHeader w:val="true"/>
        </w:trPr>
        <w:tc>
          <w:tcPr>
            <w:tcW w:type="dxa" w:w="3888"/>
            <w:vAlign w:val="center"/>
            <w:shd w:fill="1F4E78"/>
          </w:tcPr>
          <w:p>
            <w:r/>
            <w:r>
              <w:rPr>
                <w:b/>
                <w:color w:val="FFFFFF"/>
                <w:sz w:val="18"/>
              </w:rPr>
              <w:t>Document</w:t>
            </w:r>
          </w:p>
        </w:tc>
        <w:tc>
          <w:tcPr>
            <w:tcW w:type="dxa" w:w="2016"/>
            <w:vAlign w:val="center"/>
            <w:shd w:fill="1F4E78"/>
          </w:tcPr>
          <w:p>
            <w:r/>
            <w:r>
              <w:rPr>
                <w:b/>
                <w:color w:val="FFFFFF"/>
                <w:sz w:val="18"/>
              </w:rPr>
              <w:t>Owner</w:t>
            </w:r>
          </w:p>
        </w:tc>
        <w:tc>
          <w:tcPr>
            <w:tcW w:type="dxa" w:w="2016"/>
            <w:vAlign w:val="center"/>
            <w:shd w:fill="1F4E78"/>
          </w:tcPr>
          <w:p>
            <w:r/>
            <w:r>
              <w:rPr>
                <w:b/>
                <w:color w:val="FFFFFF"/>
                <w:sz w:val="18"/>
              </w:rPr>
              <w:t>Status</w:t>
            </w:r>
          </w:p>
        </w:tc>
        <w:tc>
          <w:tcPr>
            <w:tcW w:type="dxa" w:w="1728"/>
            <w:vAlign w:val="center"/>
            <w:shd w:fill="1F4E78"/>
          </w:tcPr>
          <w:p>
            <w:r/>
            <w:r>
              <w:rPr>
                <w:b/>
                <w:color w:val="FFFFFF"/>
                <w:sz w:val="18"/>
              </w:rPr>
              <w:t>Date</w:t>
            </w:r>
          </w:p>
        </w:tc>
      </w:tr>
      <w:tr>
        <w:tc>
          <w:tcPr>
            <w:tcW w:type="dxa" w:w="3888"/>
            <w:vAlign w:val="center"/>
          </w:tcPr>
          <w:p>
            <w:r/>
            <w:r>
              <w:rPr>
                <w:b w:val="0"/>
                <w:sz w:val="17"/>
              </w:rPr>
              <w:t>Product and Technical Specification</w:t>
            </w:r>
          </w:p>
        </w:tc>
        <w:tc>
          <w:tcPr>
            <w:tcW w:type="dxa" w:w="2016"/>
            <w:vAlign w:val="center"/>
          </w:tcPr>
          <w:p>
            <w:r/>
            <w:r>
              <w:rPr>
                <w:b w:val="0"/>
                <w:sz w:val="17"/>
              </w:rPr>
              <w:t>Shiv Bhosale</w:t>
            </w:r>
          </w:p>
        </w:tc>
        <w:tc>
          <w:tcPr>
            <w:tcW w:type="dxa" w:w="2016"/>
            <w:vAlign w:val="center"/>
          </w:tcPr>
          <w:p>
            <w:r/>
            <w:r>
              <w:rPr>
                <w:b w:val="0"/>
                <w:sz w:val="17"/>
              </w:rPr>
              <w:t>Planning baseline v1.0</w:t>
            </w:r>
          </w:p>
        </w:tc>
        <w:tc>
          <w:tcPr>
            <w:tcW w:type="dxa" w:w="1728"/>
            <w:vAlign w:val="center"/>
          </w:tcPr>
          <w:p>
            <w:r/>
            <w:r>
              <w:rPr>
                <w:b w:val="0"/>
                <w:sz w:val="17"/>
              </w:rPr>
              <w:t>1 September 2026</w:t>
            </w:r>
          </w:p>
        </w:tc>
      </w:tr>
    </w:tbl>
    <w:p/>
    <w:p>
      <w:pPr>
        <w:jc w:val="center"/>
      </w:pPr>
      <w:r>
        <w:rPr>
          <w:b/>
          <w:sz w:val="18"/>
        </w:rPr>
        <w:t>Educational analytics only. EquityLens will not provide personalised financial advice or guarantee investment returns.</w:t>
      </w:r>
    </w:p>
    <w:p>
      <w:r>
        <w:br w:type="page"/>
      </w:r>
    </w:p>
    <w:p>
      <w:pPr>
        <w:pStyle w:val="Heading1"/>
      </w:pPr>
      <w:r>
        <w:t>1. Executive summary</w:t>
      </w:r>
    </w:p>
    <w:p>
      <w:r>
        <w:t>EquityLens is an explainable stock-market research application for general users investigating ASX-listed companies. It will combine end-of-day price and volume data, technical indicators, a shared machine-learning model and chronological backtesting to estimate the probability that a stock will achieve a meaningful positive return over defined trading horizons. The project is primarily an internship portfolio and learning project, while retaining a path toward a personally useful tool and possible public product.</w:t>
      </w:r>
    </w:p>
    <w:p>
      <w:r>
        <w:t>The immediate commitment is a narrow, deployed Streamlit prototype completed in 14 days at approximately one focused hour per day. The broader portfolio MVP and Azure product are intentionally separated from that deadline.</w:t>
      </w:r>
    </w:p>
    <w:p>
      <w:pPr>
        <w:pStyle w:val="Heading1"/>
      </w:pPr>
      <w:r>
        <w:t>2. Project purpose and objectives</w:t>
      </w:r>
    </w:p>
    <w:p>
      <w:pPr>
        <w:pStyle w:val="Heading2"/>
      </w:pPr>
      <w:r>
        <w:t>2.1 Primary purpose</w:t>
      </w:r>
    </w:p>
    <w:p>
      <w:r>
        <w:t>Demonstrate practical capability in Python, SQL, object-oriented programming, machine learning, time-series evaluation, testing, deployment and clear communication for data and software internship applications.</w:t>
      </w:r>
    </w:p>
    <w:p>
      <w:pPr>
        <w:pStyle w:val="Heading2"/>
      </w:pPr>
      <w:r>
        <w:t>2.2 Secondary purposes</w:t>
      </w:r>
    </w:p>
    <w:p>
      <w:pPr>
        <w:pStyle w:val="ListBullet"/>
      </w:pPr>
      <w:r>
        <w:t>Learn each technical component by manually typing, running, testing and explaining AI-assisted code.</w:t>
      </w:r>
    </w:p>
    <w:p>
      <w:pPr>
        <w:pStyle w:val="ListBullet"/>
      </w:pPr>
      <w:r>
        <w:t>Create an analytical tool that Shiv can use to research ASX stocks.</w:t>
      </w:r>
    </w:p>
    <w:p>
      <w:pPr>
        <w:pStyle w:val="ListBullet"/>
      </w:pPr>
      <w:r>
        <w:t>Establish a credible base for a future public educational product.</w:t>
      </w:r>
    </w:p>
    <w:p>
      <w:pPr>
        <w:pStyle w:val="ListBullet"/>
      </w:pPr>
      <w:r>
        <w:t>Build reusable architecture that can later migrate from Streamlit to FastAPI, React and Azure.</w:t>
      </w:r>
    </w:p>
    <w:p>
      <w:pPr>
        <w:pStyle w:val="Heading2"/>
      </w:pPr>
      <w:r>
        <w:t>2.3 Measurable objectives</w:t>
      </w:r>
    </w:p>
    <w:tbl>
      <w:tblPr>
        <w:tblStyle w:val="TableGrid"/>
        <w:tblW w:type="auto" w:w="0"/>
        <w:jc w:val="center"/>
        <w:tblLook w:firstColumn="1" w:firstRow="1" w:lastColumn="0" w:lastRow="0" w:noHBand="0" w:noVBand="1" w:val="04A0"/>
      </w:tblPr>
      <w:tblGrid>
        <w:gridCol w:w="4997"/>
        <w:gridCol w:w="4997"/>
      </w:tblGrid>
      <w:tr>
        <w:trPr>
          <w:tblHeader w:val="true"/>
          <w:tblHeader w:val="true"/>
        </w:trPr>
        <w:tc>
          <w:tcPr>
            <w:tcW w:type="dxa" w:w="3024"/>
            <w:vAlign w:val="center"/>
            <w:shd w:fill="1F4E78"/>
          </w:tcPr>
          <w:p>
            <w:r/>
            <w:r>
              <w:rPr>
                <w:b/>
                <w:color w:val="FFFFFF"/>
                <w:sz w:val="18"/>
              </w:rPr>
              <w:t>Objective</w:t>
            </w:r>
          </w:p>
        </w:tc>
        <w:tc>
          <w:tcPr>
            <w:tcW w:type="dxa" w:w="6624"/>
            <w:vAlign w:val="center"/>
            <w:shd w:fill="1F4E78"/>
          </w:tcPr>
          <w:p>
            <w:r/>
            <w:r>
              <w:rPr>
                <w:b/>
                <w:color w:val="FFFFFF"/>
                <w:sz w:val="18"/>
              </w:rPr>
              <w:t>Measure</w:t>
            </w:r>
          </w:p>
        </w:tc>
      </w:tr>
      <w:tr>
        <w:tc>
          <w:tcPr>
            <w:tcW w:type="dxa" w:w="3024"/>
            <w:vAlign w:val="center"/>
          </w:tcPr>
          <w:p>
            <w:r/>
            <w:r>
              <w:rPr>
                <w:b w:val="0"/>
                <w:sz w:val="17"/>
              </w:rPr>
              <w:t>End-to-end prototype</w:t>
            </w:r>
          </w:p>
        </w:tc>
        <w:tc>
          <w:tcPr>
            <w:tcW w:type="dxa" w:w="6624"/>
            <w:vAlign w:val="center"/>
          </w:tcPr>
          <w:p>
            <w:r/>
            <w:r>
              <w:rPr>
                <w:b w:val="0"/>
                <w:sz w:val="17"/>
              </w:rPr>
              <w:t>A public dashboard successfully analyses at least 10 ASX tickers.</w:t>
            </w:r>
          </w:p>
        </w:tc>
      </w:tr>
      <w:tr>
        <w:tc>
          <w:tcPr>
            <w:tcW w:type="dxa" w:w="3024"/>
            <w:vAlign w:val="center"/>
            <w:shd w:fill="F7F9FB"/>
          </w:tcPr>
          <w:p>
            <w:r/>
            <w:r>
              <w:rPr>
                <w:b w:val="0"/>
                <w:sz w:val="17"/>
              </w:rPr>
              <w:t>Data pipeline</w:t>
            </w:r>
          </w:p>
        </w:tc>
        <w:tc>
          <w:tcPr>
            <w:tcW w:type="dxa" w:w="6624"/>
            <w:vAlign w:val="center"/>
            <w:shd w:fill="F7F9FB"/>
          </w:tcPr>
          <w:p>
            <w:r/>
            <w:r>
              <w:rPr>
                <w:b w:val="0"/>
                <w:sz w:val="17"/>
              </w:rPr>
              <w:t>Five years of daily OHLCV data can be retrieved, validated and processed.</w:t>
            </w:r>
          </w:p>
        </w:tc>
      </w:tr>
      <w:tr>
        <w:tc>
          <w:tcPr>
            <w:tcW w:type="dxa" w:w="3024"/>
            <w:vAlign w:val="center"/>
          </w:tcPr>
          <w:p>
            <w:r/>
            <w:r>
              <w:rPr>
                <w:b w:val="0"/>
                <w:sz w:val="17"/>
              </w:rPr>
              <w:t>Explainable analysis</w:t>
            </w:r>
          </w:p>
        </w:tc>
        <w:tc>
          <w:tcPr>
            <w:tcW w:type="dxa" w:w="6624"/>
            <w:vAlign w:val="center"/>
          </w:tcPr>
          <w:p>
            <w:r/>
            <w:r>
              <w:rPr>
                <w:b w:val="0"/>
                <w:sz w:val="17"/>
              </w:rPr>
              <w:t>Users see price charts, indicators, a probability, a technical outlook and concise reasoning.</w:t>
            </w:r>
          </w:p>
        </w:tc>
      </w:tr>
      <w:tr>
        <w:tc>
          <w:tcPr>
            <w:tcW w:type="dxa" w:w="3024"/>
            <w:vAlign w:val="center"/>
            <w:shd w:fill="F7F9FB"/>
          </w:tcPr>
          <w:p>
            <w:r/>
            <w:r>
              <w:rPr>
                <w:b w:val="0"/>
                <w:sz w:val="17"/>
              </w:rPr>
              <w:t>Honest evaluation</w:t>
            </w:r>
          </w:p>
        </w:tc>
        <w:tc>
          <w:tcPr>
            <w:tcW w:type="dxa" w:w="6624"/>
            <w:vAlign w:val="center"/>
            <w:shd w:fill="F7F9FB"/>
          </w:tcPr>
          <w:p>
            <w:r/>
            <w:r>
              <w:rPr>
                <w:b w:val="0"/>
                <w:sz w:val="17"/>
              </w:rPr>
              <w:t>Chronological validation and simple baselines are reported; no random row split is used.</w:t>
            </w:r>
          </w:p>
        </w:tc>
      </w:tr>
      <w:tr>
        <w:tc>
          <w:tcPr>
            <w:tcW w:type="dxa" w:w="3024"/>
            <w:vAlign w:val="center"/>
          </w:tcPr>
          <w:p>
            <w:r/>
            <w:r>
              <w:rPr>
                <w:b w:val="0"/>
                <w:sz w:val="17"/>
              </w:rPr>
              <w:t>Maintainable code</w:t>
            </w:r>
          </w:p>
        </w:tc>
        <w:tc>
          <w:tcPr>
            <w:tcW w:type="dxa" w:w="6624"/>
            <w:vAlign w:val="center"/>
          </w:tcPr>
          <w:p>
            <w:r/>
            <w:r>
              <w:rPr>
                <w:b w:val="0"/>
                <w:sz w:val="17"/>
              </w:rPr>
              <w:t>Core logic is separated into modules/classes and includes error handling and basic tests.</w:t>
            </w:r>
          </w:p>
        </w:tc>
      </w:tr>
    </w:tbl>
    <w:p/>
    <w:p>
      <w:pPr>
        <w:pStyle w:val="Heading1"/>
      </w:pPr>
      <w:r>
        <w:t>3. Intended users and value proposition</w:t>
      </w:r>
    </w:p>
    <w:p>
      <w:r>
        <w:t>Primary users are general users researching ASX-listed companies. They are not assumed to understand machine-learning terminology or every technical indicator. EquityLens should help them inspect recent price behaviour and understand what a model and common indicators suggest, without presenting the result as certain or personalised advice.</w:t>
      </w:r>
    </w:p>
    <w:tbl>
      <w:tblPr>
        <w:tblStyle w:val="TableGrid"/>
        <w:tblW w:type="auto" w:w="0"/>
        <w:jc w:val="center"/>
        <w:tblLook w:firstColumn="1" w:firstRow="1" w:lastColumn="0" w:lastRow="0" w:noHBand="0" w:noVBand="1" w:val="04A0"/>
      </w:tblPr>
      <w:tblGrid>
        <w:gridCol w:w="4997"/>
        <w:gridCol w:w="4997"/>
      </w:tblGrid>
      <w:tr>
        <w:trPr>
          <w:tblHeader w:val="true"/>
          <w:tblHeader w:val="true"/>
        </w:trPr>
        <w:tc>
          <w:tcPr>
            <w:tcW w:type="dxa" w:w="3168"/>
            <w:vAlign w:val="center"/>
            <w:shd w:fill="1F4E78"/>
          </w:tcPr>
          <w:p>
            <w:r/>
            <w:r>
              <w:rPr>
                <w:b/>
                <w:color w:val="FFFFFF"/>
                <w:sz w:val="18"/>
              </w:rPr>
              <w:t>User need</w:t>
            </w:r>
          </w:p>
        </w:tc>
        <w:tc>
          <w:tcPr>
            <w:tcW w:type="dxa" w:w="6480"/>
            <w:vAlign w:val="center"/>
            <w:shd w:fill="1F4E78"/>
          </w:tcPr>
          <w:p>
            <w:r/>
            <w:r>
              <w:rPr>
                <w:b/>
                <w:color w:val="FFFFFF"/>
                <w:sz w:val="18"/>
              </w:rPr>
              <w:t>EquityLens response</w:t>
            </w:r>
          </w:p>
        </w:tc>
      </w:tr>
      <w:tr>
        <w:tc>
          <w:tcPr>
            <w:tcW w:type="dxa" w:w="3168"/>
            <w:vAlign w:val="center"/>
          </w:tcPr>
          <w:p>
            <w:r/>
            <w:r>
              <w:rPr>
                <w:b w:val="0"/>
                <w:sz w:val="17"/>
              </w:rPr>
              <w:t>Quickly inspect a stock</w:t>
            </w:r>
          </w:p>
        </w:tc>
        <w:tc>
          <w:tcPr>
            <w:tcW w:type="dxa" w:w="6480"/>
            <w:vAlign w:val="center"/>
          </w:tcPr>
          <w:p>
            <w:r/>
            <w:r>
              <w:rPr>
                <w:b w:val="0"/>
                <w:sz w:val="17"/>
              </w:rPr>
              <w:t>Ticker search, current data timestamp and historical price/volume charts.</w:t>
            </w:r>
          </w:p>
        </w:tc>
      </w:tr>
      <w:tr>
        <w:tc>
          <w:tcPr>
            <w:tcW w:type="dxa" w:w="3168"/>
            <w:vAlign w:val="center"/>
            <w:shd w:fill="F7F9FB"/>
          </w:tcPr>
          <w:p>
            <w:r/>
            <w:r>
              <w:rPr>
                <w:b w:val="0"/>
                <w:sz w:val="17"/>
              </w:rPr>
              <w:t>Understand technical conditions</w:t>
            </w:r>
          </w:p>
        </w:tc>
        <w:tc>
          <w:tcPr>
            <w:tcW w:type="dxa" w:w="6480"/>
            <w:vAlign w:val="center"/>
            <w:shd w:fill="F7F9FB"/>
          </w:tcPr>
          <w:p>
            <w:r/>
            <w:r>
              <w:rPr>
                <w:b w:val="0"/>
                <w:sz w:val="17"/>
              </w:rPr>
              <w:t>Plain-language trend, momentum, volatility and volume explanations.</w:t>
            </w:r>
          </w:p>
        </w:tc>
      </w:tr>
      <w:tr>
        <w:tc>
          <w:tcPr>
            <w:tcW w:type="dxa" w:w="3168"/>
            <w:vAlign w:val="center"/>
          </w:tcPr>
          <w:p>
            <w:r/>
            <w:r>
              <w:rPr>
                <w:b w:val="0"/>
                <w:sz w:val="17"/>
              </w:rPr>
              <w:t>Assess possible future movement</w:t>
            </w:r>
          </w:p>
        </w:tc>
        <w:tc>
          <w:tcPr>
            <w:tcW w:type="dxa" w:w="6480"/>
            <w:vAlign w:val="center"/>
          </w:tcPr>
          <w:p>
            <w:r/>
            <w:r>
              <w:rPr>
                <w:b w:val="0"/>
                <w:sz w:val="17"/>
              </w:rPr>
              <w:t>Probability of exceeding a volatility-adjusted positive-return threshold.</w:t>
            </w:r>
          </w:p>
        </w:tc>
      </w:tr>
      <w:tr>
        <w:tc>
          <w:tcPr>
            <w:tcW w:type="dxa" w:w="3168"/>
            <w:vAlign w:val="center"/>
            <w:shd w:fill="F7F9FB"/>
          </w:tcPr>
          <w:p>
            <w:r/>
            <w:r>
              <w:rPr>
                <w:b w:val="0"/>
                <w:sz w:val="17"/>
              </w:rPr>
              <w:t>Understand uncertainty</w:t>
            </w:r>
          </w:p>
        </w:tc>
        <w:tc>
          <w:tcPr>
            <w:tcW w:type="dxa" w:w="6480"/>
            <w:vAlign w:val="center"/>
            <w:shd w:fill="F7F9FB"/>
          </w:tcPr>
          <w:p>
            <w:r/>
            <w:r>
              <w:rPr>
                <w:b w:val="0"/>
                <w:sz w:val="17"/>
              </w:rPr>
              <w:t>Model performance summary, cautious wording and visible limitations.</w:t>
            </w:r>
          </w:p>
        </w:tc>
      </w:tr>
      <w:tr>
        <w:tc>
          <w:tcPr>
            <w:tcW w:type="dxa" w:w="3168"/>
            <w:vAlign w:val="center"/>
          </w:tcPr>
          <w:p>
            <w:r/>
            <w:r>
              <w:rPr>
                <w:b w:val="0"/>
                <w:sz w:val="17"/>
              </w:rPr>
              <w:t>Track companies</w:t>
            </w:r>
          </w:p>
        </w:tc>
        <w:tc>
          <w:tcPr>
            <w:tcW w:type="dxa" w:w="6480"/>
            <w:vAlign w:val="center"/>
          </w:tcPr>
          <w:p>
            <w:r/>
            <w:r>
              <w:rPr>
                <w:b w:val="0"/>
                <w:sz w:val="17"/>
              </w:rPr>
              <w:t>Authenticated personal watchlists in the portfolio MVP.</w:t>
            </w:r>
          </w:p>
        </w:tc>
      </w:tr>
    </w:tbl>
    <w:p/>
    <w:p>
      <w:pPr>
        <w:pStyle w:val="Heading1"/>
      </w:pPr>
      <w:r>
        <w:t>4. Scope and release boundaries</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blHeader w:val="true"/>
        </w:trPr>
        <w:tc>
          <w:tcPr>
            <w:tcW w:type="dxa" w:w="2232"/>
            <w:vAlign w:val="center"/>
            <w:shd w:fill="1F4E78"/>
          </w:tcPr>
          <w:p>
            <w:r/>
            <w:r>
              <w:rPr>
                <w:b/>
                <w:color w:val="FFFFFF"/>
                <w:sz w:val="18"/>
              </w:rPr>
              <w:t>Capability</w:t>
            </w:r>
          </w:p>
        </w:tc>
        <w:tc>
          <w:tcPr>
            <w:tcW w:type="dxa" w:w="2520"/>
            <w:vAlign w:val="center"/>
            <w:shd w:fill="1F4E78"/>
          </w:tcPr>
          <w:p>
            <w:r/>
            <w:r>
              <w:rPr>
                <w:b/>
                <w:color w:val="FFFFFF"/>
                <w:sz w:val="18"/>
              </w:rPr>
              <w:t>14-day prototype</w:t>
            </w:r>
          </w:p>
        </w:tc>
        <w:tc>
          <w:tcPr>
            <w:tcW w:type="dxa" w:w="2520"/>
            <w:vAlign w:val="center"/>
            <w:shd w:fill="1F4E78"/>
          </w:tcPr>
          <w:p>
            <w:r/>
            <w:r>
              <w:rPr>
                <w:b/>
                <w:color w:val="FFFFFF"/>
                <w:sz w:val="18"/>
              </w:rPr>
              <w:t>Portfolio MVP</w:t>
            </w:r>
          </w:p>
        </w:tc>
        <w:tc>
          <w:tcPr>
            <w:tcW w:type="dxa" w:w="2520"/>
            <w:vAlign w:val="center"/>
            <w:shd w:fill="1F4E78"/>
          </w:tcPr>
          <w:p>
            <w:r/>
            <w:r>
              <w:rPr>
                <w:b/>
                <w:color w:val="FFFFFF"/>
                <w:sz w:val="18"/>
              </w:rPr>
              <w:t>Azure product</w:t>
            </w:r>
          </w:p>
        </w:tc>
      </w:tr>
      <w:tr>
        <w:tc>
          <w:tcPr>
            <w:tcW w:type="dxa" w:w="2232"/>
            <w:vAlign w:val="center"/>
          </w:tcPr>
          <w:p>
            <w:r/>
            <w:r>
              <w:rPr>
                <w:b w:val="0"/>
                <w:sz w:val="17"/>
              </w:rPr>
              <w:t>Market</w:t>
            </w:r>
          </w:p>
        </w:tc>
        <w:tc>
          <w:tcPr>
            <w:tcW w:type="dxa" w:w="2520"/>
            <w:vAlign w:val="center"/>
          </w:tcPr>
          <w:p>
            <w:r/>
            <w:r>
              <w:rPr>
                <w:b w:val="0"/>
                <w:sz w:val="17"/>
              </w:rPr>
              <w:t>10 ASX demonstration stocks</w:t>
            </w:r>
          </w:p>
        </w:tc>
        <w:tc>
          <w:tcPr>
            <w:tcW w:type="dxa" w:w="2520"/>
            <w:vAlign w:val="center"/>
          </w:tcPr>
          <w:p>
            <w:r/>
            <w:r>
              <w:rPr>
                <w:b w:val="0"/>
                <w:sz w:val="17"/>
              </w:rPr>
              <w:t>Any valid ASX ticker with sufficient data</w:t>
            </w:r>
          </w:p>
        </w:tc>
        <w:tc>
          <w:tcPr>
            <w:tcW w:type="dxa" w:w="2520"/>
            <w:vAlign w:val="center"/>
          </w:tcPr>
          <w:p>
            <w:r/>
            <w:r>
              <w:rPr>
                <w:b w:val="0"/>
                <w:sz w:val="17"/>
              </w:rPr>
              <w:t>ASX first; extensible to other markets</w:t>
            </w:r>
          </w:p>
        </w:tc>
      </w:tr>
      <w:tr>
        <w:tc>
          <w:tcPr>
            <w:tcW w:type="dxa" w:w="2232"/>
            <w:vAlign w:val="center"/>
            <w:shd w:fill="F7F9FB"/>
          </w:tcPr>
          <w:p>
            <w:r/>
            <w:r>
              <w:rPr>
                <w:b w:val="0"/>
                <w:sz w:val="17"/>
              </w:rPr>
              <w:t>Forecast horizon</w:t>
            </w:r>
          </w:p>
        </w:tc>
        <w:tc>
          <w:tcPr>
            <w:tcW w:type="dxa" w:w="2520"/>
            <w:vAlign w:val="center"/>
            <w:shd w:fill="F7F9FB"/>
          </w:tcPr>
          <w:p>
            <w:r/>
            <w:r>
              <w:rPr>
                <w:b w:val="0"/>
                <w:sz w:val="17"/>
              </w:rPr>
              <w:t>1 trading day</w:t>
            </w:r>
          </w:p>
        </w:tc>
        <w:tc>
          <w:tcPr>
            <w:tcW w:type="dxa" w:w="2520"/>
            <w:vAlign w:val="center"/>
            <w:shd w:fill="F7F9FB"/>
          </w:tcPr>
          <w:p>
            <w:r/>
            <w:r>
              <w:rPr>
                <w:b w:val="0"/>
                <w:sz w:val="17"/>
              </w:rPr>
              <w:t>1, 5 and 21 trading days</w:t>
            </w:r>
          </w:p>
        </w:tc>
        <w:tc>
          <w:tcPr>
            <w:tcW w:type="dxa" w:w="2520"/>
            <w:vAlign w:val="center"/>
            <w:shd w:fill="F7F9FB"/>
          </w:tcPr>
          <w:p>
            <w:r/>
            <w:r>
              <w:rPr>
                <w:b w:val="0"/>
                <w:sz w:val="17"/>
              </w:rPr>
              <w:t>Same, with monitored production models</w:t>
            </w:r>
          </w:p>
        </w:tc>
      </w:tr>
      <w:tr>
        <w:tc>
          <w:tcPr>
            <w:tcW w:type="dxa" w:w="2232"/>
            <w:vAlign w:val="center"/>
          </w:tcPr>
          <w:p>
            <w:r/>
            <w:r>
              <w:rPr>
                <w:b w:val="0"/>
                <w:sz w:val="17"/>
              </w:rPr>
              <w:t>Models</w:t>
            </w:r>
          </w:p>
        </w:tc>
        <w:tc>
          <w:tcPr>
            <w:tcW w:type="dxa" w:w="2520"/>
            <w:vAlign w:val="center"/>
          </w:tcPr>
          <w:p>
            <w:r/>
            <w:r>
              <w:rPr>
                <w:b w:val="0"/>
                <w:sz w:val="17"/>
              </w:rPr>
              <w:t>Baselines + Logistic Regression</w:t>
            </w:r>
          </w:p>
        </w:tc>
        <w:tc>
          <w:tcPr>
            <w:tcW w:type="dxa" w:w="2520"/>
            <w:vAlign w:val="center"/>
          </w:tcPr>
          <w:p>
            <w:r/>
            <w:r>
              <w:rPr>
                <w:b w:val="0"/>
                <w:sz w:val="17"/>
              </w:rPr>
              <w:t>Logistic Regression, Random Forest, XGBoost and ARIMA benchmark</w:t>
            </w:r>
          </w:p>
        </w:tc>
        <w:tc>
          <w:tcPr>
            <w:tcW w:type="dxa" w:w="2520"/>
            <w:vAlign w:val="center"/>
          </w:tcPr>
          <w:p>
            <w:r/>
            <w:r>
              <w:rPr>
                <w:b w:val="0"/>
                <w:sz w:val="17"/>
              </w:rPr>
              <w:t>Validated production pipeline and monitoring</w:t>
            </w:r>
          </w:p>
        </w:tc>
      </w:tr>
      <w:tr>
        <w:tc>
          <w:tcPr>
            <w:tcW w:type="dxa" w:w="2232"/>
            <w:vAlign w:val="center"/>
            <w:shd w:fill="F7F9FB"/>
          </w:tcPr>
          <w:p>
            <w:r/>
            <w:r>
              <w:rPr>
                <w:b w:val="0"/>
                <w:sz w:val="17"/>
              </w:rPr>
              <w:t>Data storage</w:t>
            </w:r>
          </w:p>
        </w:tc>
        <w:tc>
          <w:tcPr>
            <w:tcW w:type="dxa" w:w="2520"/>
            <w:vAlign w:val="center"/>
            <w:shd w:fill="F7F9FB"/>
          </w:tcPr>
          <w:p>
            <w:r/>
            <w:r>
              <w:rPr>
                <w:b w:val="0"/>
                <w:sz w:val="17"/>
              </w:rPr>
              <w:t>Local cache / lightweight development store</w:t>
            </w:r>
          </w:p>
        </w:tc>
        <w:tc>
          <w:tcPr>
            <w:tcW w:type="dxa" w:w="2520"/>
            <w:vAlign w:val="center"/>
            <w:shd w:fill="F7F9FB"/>
          </w:tcPr>
          <w:p>
            <w:r/>
            <w:r>
              <w:rPr>
                <w:b w:val="0"/>
                <w:sz w:val="17"/>
              </w:rPr>
              <w:t>SQL Server Developer Edition</w:t>
            </w:r>
          </w:p>
        </w:tc>
        <w:tc>
          <w:tcPr>
            <w:tcW w:type="dxa" w:w="2520"/>
            <w:vAlign w:val="center"/>
            <w:shd w:fill="F7F9FB"/>
          </w:tcPr>
          <w:p>
            <w:r/>
            <w:r>
              <w:rPr>
                <w:b w:val="0"/>
                <w:sz w:val="17"/>
              </w:rPr>
              <w:t>Azure SQL Database</w:t>
            </w:r>
          </w:p>
        </w:tc>
      </w:tr>
      <w:tr>
        <w:tc>
          <w:tcPr>
            <w:tcW w:type="dxa" w:w="2232"/>
            <w:vAlign w:val="center"/>
          </w:tcPr>
          <w:p>
            <w:r/>
            <w:r>
              <w:rPr>
                <w:b w:val="0"/>
                <w:sz w:val="17"/>
              </w:rPr>
              <w:t>Interface</w:t>
            </w:r>
          </w:p>
        </w:tc>
        <w:tc>
          <w:tcPr>
            <w:tcW w:type="dxa" w:w="2520"/>
            <w:vAlign w:val="center"/>
          </w:tcPr>
          <w:p>
            <w:r/>
            <w:r>
              <w:rPr>
                <w:b w:val="0"/>
                <w:sz w:val="17"/>
              </w:rPr>
              <w:t>Streamlit</w:t>
            </w:r>
          </w:p>
        </w:tc>
        <w:tc>
          <w:tcPr>
            <w:tcW w:type="dxa" w:w="2520"/>
            <w:vAlign w:val="center"/>
          </w:tcPr>
          <w:p>
            <w:r/>
            <w:r>
              <w:rPr>
                <w:b w:val="0"/>
                <w:sz w:val="17"/>
              </w:rPr>
              <w:t>Streamlit</w:t>
            </w:r>
          </w:p>
        </w:tc>
        <w:tc>
          <w:tcPr>
            <w:tcW w:type="dxa" w:w="2520"/>
            <w:vAlign w:val="center"/>
          </w:tcPr>
          <w:p>
            <w:r/>
            <w:r>
              <w:rPr>
                <w:b w:val="0"/>
                <w:sz w:val="17"/>
              </w:rPr>
              <w:t>React + FastAPI</w:t>
            </w:r>
          </w:p>
        </w:tc>
      </w:tr>
      <w:tr>
        <w:tc>
          <w:tcPr>
            <w:tcW w:type="dxa" w:w="2232"/>
            <w:vAlign w:val="center"/>
            <w:shd w:fill="F7F9FB"/>
          </w:tcPr>
          <w:p>
            <w:r/>
            <w:r>
              <w:rPr>
                <w:b w:val="0"/>
                <w:sz w:val="17"/>
              </w:rPr>
              <w:t>Accounts</w:t>
            </w:r>
          </w:p>
        </w:tc>
        <w:tc>
          <w:tcPr>
            <w:tcW w:type="dxa" w:w="2520"/>
            <w:vAlign w:val="center"/>
            <w:shd w:fill="F7F9FB"/>
          </w:tcPr>
          <w:p>
            <w:r/>
            <w:r>
              <w:rPr>
                <w:b w:val="0"/>
                <w:sz w:val="17"/>
              </w:rPr>
              <w:t>Deferred</w:t>
            </w:r>
          </w:p>
        </w:tc>
        <w:tc>
          <w:tcPr>
            <w:tcW w:type="dxa" w:w="2520"/>
            <w:vAlign w:val="center"/>
            <w:shd w:fill="F7F9FB"/>
          </w:tcPr>
          <w:p>
            <w:r/>
            <w:r>
              <w:rPr>
                <w:b w:val="0"/>
                <w:sz w:val="17"/>
              </w:rPr>
              <w:t>Managed Google sign-in</w:t>
            </w:r>
          </w:p>
        </w:tc>
        <w:tc>
          <w:tcPr>
            <w:tcW w:type="dxa" w:w="2520"/>
            <w:vAlign w:val="center"/>
            <w:shd w:fill="F7F9FB"/>
          </w:tcPr>
          <w:p>
            <w:r/>
            <w:r>
              <w:rPr>
                <w:b w:val="0"/>
                <w:sz w:val="17"/>
              </w:rPr>
              <w:t>Managed Google sign-in</w:t>
            </w:r>
          </w:p>
        </w:tc>
      </w:tr>
      <w:tr>
        <w:tc>
          <w:tcPr>
            <w:tcW w:type="dxa" w:w="2232"/>
            <w:vAlign w:val="center"/>
          </w:tcPr>
          <w:p>
            <w:r/>
            <w:r>
              <w:rPr>
                <w:b w:val="0"/>
                <w:sz w:val="17"/>
              </w:rPr>
              <w:t>Watchlists</w:t>
            </w:r>
          </w:p>
        </w:tc>
        <w:tc>
          <w:tcPr>
            <w:tcW w:type="dxa" w:w="2520"/>
            <w:vAlign w:val="center"/>
          </w:tcPr>
          <w:p>
            <w:r/>
            <w:r>
              <w:rPr>
                <w:b w:val="0"/>
                <w:sz w:val="17"/>
              </w:rPr>
              <w:t>Deferred</w:t>
            </w:r>
          </w:p>
        </w:tc>
        <w:tc>
          <w:tcPr>
            <w:tcW w:type="dxa" w:w="2520"/>
            <w:vAlign w:val="center"/>
          </w:tcPr>
          <w:p>
            <w:r/>
            <w:r>
              <w:rPr>
                <w:b w:val="0"/>
                <w:sz w:val="17"/>
              </w:rPr>
              <w:t>Private persistent watchlists</w:t>
            </w:r>
          </w:p>
        </w:tc>
        <w:tc>
          <w:tcPr>
            <w:tcW w:type="dxa" w:w="2520"/>
            <w:vAlign w:val="center"/>
          </w:tcPr>
          <w:p>
            <w:r/>
            <w:r>
              <w:rPr>
                <w:b w:val="0"/>
                <w:sz w:val="17"/>
              </w:rPr>
              <w:t>Private persistent watchlists</w:t>
            </w:r>
          </w:p>
        </w:tc>
      </w:tr>
      <w:tr>
        <w:tc>
          <w:tcPr>
            <w:tcW w:type="dxa" w:w="2232"/>
            <w:vAlign w:val="center"/>
            <w:shd w:fill="F7F9FB"/>
          </w:tcPr>
          <w:p>
            <w:r/>
            <w:r>
              <w:rPr>
                <w:b w:val="0"/>
                <w:sz w:val="17"/>
              </w:rPr>
              <w:t>Automation</w:t>
            </w:r>
          </w:p>
        </w:tc>
        <w:tc>
          <w:tcPr>
            <w:tcW w:type="dxa" w:w="2520"/>
            <w:vAlign w:val="center"/>
            <w:shd w:fill="F7F9FB"/>
          </w:tcPr>
          <w:p>
            <w:r/>
            <w:r>
              <w:rPr>
                <w:b w:val="0"/>
                <w:sz w:val="17"/>
              </w:rPr>
              <w:t>Manual/on-load refresh sufficient</w:t>
            </w:r>
          </w:p>
        </w:tc>
        <w:tc>
          <w:tcPr>
            <w:tcW w:type="dxa" w:w="2520"/>
            <w:vAlign w:val="center"/>
            <w:shd w:fill="F7F9FB"/>
          </w:tcPr>
          <w:p>
            <w:r/>
            <w:r>
              <w:rPr>
                <w:b w:val="0"/>
                <w:sz w:val="17"/>
              </w:rPr>
              <w:t>Trading-day updates and monthly retraining</w:t>
            </w:r>
          </w:p>
        </w:tc>
        <w:tc>
          <w:tcPr>
            <w:tcW w:type="dxa" w:w="2520"/>
            <w:vAlign w:val="center"/>
            <w:shd w:fill="F7F9FB"/>
          </w:tcPr>
          <w:p>
            <w:r/>
            <w:r>
              <w:rPr>
                <w:b w:val="0"/>
                <w:sz w:val="17"/>
              </w:rPr>
              <w:t>Managed scheduled jobs and alerts</w:t>
            </w:r>
          </w:p>
        </w:tc>
      </w:tr>
      <w:tr>
        <w:tc>
          <w:tcPr>
            <w:tcW w:type="dxa" w:w="2232"/>
            <w:vAlign w:val="center"/>
          </w:tcPr>
          <w:p>
            <w:r/>
            <w:r>
              <w:rPr>
                <w:b w:val="0"/>
                <w:sz w:val="17"/>
              </w:rPr>
              <w:t>Deployment</w:t>
            </w:r>
          </w:p>
        </w:tc>
        <w:tc>
          <w:tcPr>
            <w:tcW w:type="dxa" w:w="2520"/>
            <w:vAlign w:val="center"/>
          </w:tcPr>
          <w:p>
            <w:r/>
            <w:r>
              <w:rPr>
                <w:b w:val="0"/>
                <w:sz w:val="17"/>
              </w:rPr>
              <w:t>Free Streamlit hosting</w:t>
            </w:r>
          </w:p>
        </w:tc>
        <w:tc>
          <w:tcPr>
            <w:tcW w:type="dxa" w:w="2520"/>
            <w:vAlign w:val="center"/>
          </w:tcPr>
          <w:p>
            <w:r/>
            <w:r>
              <w:rPr>
                <w:b w:val="0"/>
                <w:sz w:val="17"/>
              </w:rPr>
              <w:t>Shareable portfolio deployment</w:t>
            </w:r>
          </w:p>
        </w:tc>
        <w:tc>
          <w:tcPr>
            <w:tcW w:type="dxa" w:w="2520"/>
            <w:vAlign w:val="center"/>
          </w:tcPr>
          <w:p>
            <w:r/>
            <w:r>
              <w:rPr>
                <w:b w:val="0"/>
                <w:sz w:val="17"/>
              </w:rPr>
              <w:t>Microsoft Azure</w:t>
            </w:r>
          </w:p>
        </w:tc>
      </w:tr>
    </w:tbl>
    <w:p/>
    <w:p>
      <w:pPr>
        <w:pStyle w:val="Heading2"/>
      </w:pPr>
      <w:r>
        <w:t>4.1 Explicitly out of scope for the prototype</w:t>
      </w:r>
    </w:p>
    <w:p>
      <w:pPr>
        <w:pStyle w:val="ListBullet"/>
      </w:pPr>
      <w:r>
        <w:t>Live or intraday market data</w:t>
      </w:r>
    </w:p>
    <w:p>
      <w:pPr>
        <w:pStyle w:val="ListBullet"/>
      </w:pPr>
      <w:r>
        <w:t>Trade execution or brokerage integration</w:t>
      </w:r>
    </w:p>
    <w:p>
      <w:pPr>
        <w:pStyle w:val="ListBullet"/>
      </w:pPr>
      <w:r>
        <w:t>Personalised buy/sell advice</w:t>
      </w:r>
    </w:p>
    <w:p>
      <w:pPr>
        <w:pStyle w:val="ListBullet"/>
      </w:pPr>
      <w:r>
        <w:t>News, sentiment, fundamentals or macroeconomic features</w:t>
      </w:r>
    </w:p>
    <w:p>
      <w:pPr>
        <w:pStyle w:val="ListBullet"/>
      </w:pPr>
      <w:r>
        <w:t>Guaranteed predictions</w:t>
      </w:r>
    </w:p>
    <w:p>
      <w:pPr>
        <w:pStyle w:val="ListBullet"/>
      </w:pPr>
      <w:r>
        <w:t>Google authentication and persistent watchlists</w:t>
      </w:r>
    </w:p>
    <w:p>
      <w:pPr>
        <w:pStyle w:val="ListBullet"/>
      </w:pPr>
      <w:r>
        <w:t>Full Azure deployment</w:t>
      </w:r>
    </w:p>
    <w:p>
      <w:pPr>
        <w:pStyle w:val="Heading1"/>
      </w:pPr>
      <w:r>
        <w:t>5. Functional requirements</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blHeader w:val="true"/>
        </w:trPr>
        <w:tc>
          <w:tcPr>
            <w:tcW w:type="dxa" w:w="864"/>
            <w:vAlign w:val="center"/>
            <w:shd w:fill="1F4E78"/>
          </w:tcPr>
          <w:p>
            <w:r/>
            <w:r>
              <w:rPr>
                <w:b/>
                <w:color w:val="FFFFFF"/>
                <w:sz w:val="18"/>
              </w:rPr>
              <w:t>ID</w:t>
            </w:r>
          </w:p>
        </w:tc>
        <w:tc>
          <w:tcPr>
            <w:tcW w:type="dxa" w:w="5616"/>
            <w:vAlign w:val="center"/>
            <w:shd w:fill="1F4E78"/>
          </w:tcPr>
          <w:p>
            <w:r/>
            <w:r>
              <w:rPr>
                <w:b/>
                <w:color w:val="FFFFFF"/>
                <w:sz w:val="18"/>
              </w:rPr>
              <w:t>Requirement</w:t>
            </w:r>
          </w:p>
        </w:tc>
        <w:tc>
          <w:tcPr>
            <w:tcW w:type="dxa" w:w="1800"/>
            <w:vAlign w:val="center"/>
            <w:shd w:fill="1F4E78"/>
          </w:tcPr>
          <w:p>
            <w:r/>
            <w:r>
              <w:rPr>
                <w:b/>
                <w:color w:val="FFFFFF"/>
                <w:sz w:val="18"/>
              </w:rPr>
              <w:t>Release</w:t>
            </w:r>
          </w:p>
        </w:tc>
        <w:tc>
          <w:tcPr>
            <w:tcW w:type="dxa" w:w="1152"/>
            <w:vAlign w:val="center"/>
            <w:shd w:fill="1F4E78"/>
          </w:tcPr>
          <w:p>
            <w:r/>
            <w:r>
              <w:rPr>
                <w:b/>
                <w:color w:val="FFFFFF"/>
                <w:sz w:val="18"/>
              </w:rPr>
              <w:t>Priority</w:t>
            </w:r>
          </w:p>
        </w:tc>
      </w:tr>
      <w:tr>
        <w:tc>
          <w:tcPr>
            <w:tcW w:type="dxa" w:w="864"/>
            <w:vAlign w:val="center"/>
          </w:tcPr>
          <w:p>
            <w:r/>
            <w:r>
              <w:rPr>
                <w:b w:val="0"/>
                <w:sz w:val="17"/>
              </w:rPr>
              <w:t>FR-01</w:t>
            </w:r>
          </w:p>
        </w:tc>
        <w:tc>
          <w:tcPr>
            <w:tcW w:type="dxa" w:w="5616"/>
            <w:vAlign w:val="center"/>
          </w:tcPr>
          <w:p>
            <w:r/>
            <w:r>
              <w:rPr>
                <w:b w:val="0"/>
                <w:sz w:val="17"/>
              </w:rPr>
              <w:t>Accept and validate an ASX ticker.</w:t>
            </w:r>
          </w:p>
        </w:tc>
        <w:tc>
          <w:tcPr>
            <w:tcW w:type="dxa" w:w="1800"/>
            <w:vAlign w:val="center"/>
          </w:tcPr>
          <w:p>
            <w:r/>
            <w:r>
              <w:rPr>
                <w:b w:val="0"/>
                <w:sz w:val="17"/>
              </w:rPr>
              <w:t>Prototype</w:t>
            </w:r>
          </w:p>
        </w:tc>
        <w:tc>
          <w:tcPr>
            <w:tcW w:type="dxa" w:w="1152"/>
            <w:vAlign w:val="center"/>
          </w:tcPr>
          <w:p>
            <w:r/>
            <w:r>
              <w:rPr>
                <w:b w:val="0"/>
                <w:sz w:val="17"/>
              </w:rPr>
              <w:t>Must</w:t>
            </w:r>
          </w:p>
        </w:tc>
      </w:tr>
      <w:tr>
        <w:tc>
          <w:tcPr>
            <w:tcW w:type="dxa" w:w="864"/>
            <w:vAlign w:val="center"/>
            <w:shd w:fill="F7F9FB"/>
          </w:tcPr>
          <w:p>
            <w:r/>
            <w:r>
              <w:rPr>
                <w:b w:val="0"/>
                <w:sz w:val="17"/>
              </w:rPr>
              <w:t>FR-02</w:t>
            </w:r>
          </w:p>
        </w:tc>
        <w:tc>
          <w:tcPr>
            <w:tcW w:type="dxa" w:w="5616"/>
            <w:vAlign w:val="center"/>
            <w:shd w:fill="F7F9FB"/>
          </w:tcPr>
          <w:p>
            <w:r/>
            <w:r>
              <w:rPr>
                <w:b w:val="0"/>
                <w:sz w:val="17"/>
              </w:rPr>
              <w:t>Retrieve five years of end-of-day OHLCV history.</w:t>
            </w:r>
          </w:p>
        </w:tc>
        <w:tc>
          <w:tcPr>
            <w:tcW w:type="dxa" w:w="1800"/>
            <w:vAlign w:val="center"/>
            <w:shd w:fill="F7F9FB"/>
          </w:tcPr>
          <w:p>
            <w:r/>
            <w:r>
              <w:rPr>
                <w:b w:val="0"/>
                <w:sz w:val="17"/>
              </w:rPr>
              <w:t>Prototype</w:t>
            </w:r>
          </w:p>
        </w:tc>
        <w:tc>
          <w:tcPr>
            <w:tcW w:type="dxa" w:w="1152"/>
            <w:vAlign w:val="center"/>
            <w:shd w:fill="F7F9FB"/>
          </w:tcPr>
          <w:p>
            <w:r/>
            <w:r>
              <w:rPr>
                <w:b w:val="0"/>
                <w:sz w:val="17"/>
              </w:rPr>
              <w:t>Must</w:t>
            </w:r>
          </w:p>
        </w:tc>
      </w:tr>
      <w:tr>
        <w:tc>
          <w:tcPr>
            <w:tcW w:type="dxa" w:w="864"/>
            <w:vAlign w:val="center"/>
          </w:tcPr>
          <w:p>
            <w:r/>
            <w:r>
              <w:rPr>
                <w:b w:val="0"/>
                <w:sz w:val="17"/>
              </w:rPr>
              <w:t>FR-03</w:t>
            </w:r>
          </w:p>
        </w:tc>
        <w:tc>
          <w:tcPr>
            <w:tcW w:type="dxa" w:w="5616"/>
            <w:vAlign w:val="center"/>
          </w:tcPr>
          <w:p>
            <w:r/>
            <w:r>
              <w:rPr>
                <w:b w:val="0"/>
                <w:sz w:val="17"/>
              </w:rPr>
              <w:t>Display adjusted price, volume and selected indicator charts.</w:t>
            </w:r>
          </w:p>
        </w:tc>
        <w:tc>
          <w:tcPr>
            <w:tcW w:type="dxa" w:w="1800"/>
            <w:vAlign w:val="center"/>
          </w:tcPr>
          <w:p>
            <w:r/>
            <w:r>
              <w:rPr>
                <w:b w:val="0"/>
                <w:sz w:val="17"/>
              </w:rPr>
              <w:t>Prototype</w:t>
            </w:r>
          </w:p>
        </w:tc>
        <w:tc>
          <w:tcPr>
            <w:tcW w:type="dxa" w:w="1152"/>
            <w:vAlign w:val="center"/>
          </w:tcPr>
          <w:p>
            <w:r/>
            <w:r>
              <w:rPr>
                <w:b w:val="0"/>
                <w:sz w:val="17"/>
              </w:rPr>
              <w:t>Must</w:t>
            </w:r>
          </w:p>
        </w:tc>
      </w:tr>
      <w:tr>
        <w:tc>
          <w:tcPr>
            <w:tcW w:type="dxa" w:w="864"/>
            <w:vAlign w:val="center"/>
            <w:shd w:fill="F7F9FB"/>
          </w:tcPr>
          <w:p>
            <w:r/>
            <w:r>
              <w:rPr>
                <w:b w:val="0"/>
                <w:sz w:val="17"/>
              </w:rPr>
              <w:t>FR-04</w:t>
            </w:r>
          </w:p>
        </w:tc>
        <w:tc>
          <w:tcPr>
            <w:tcW w:type="dxa" w:w="5616"/>
            <w:vAlign w:val="center"/>
            <w:shd w:fill="F7F9FB"/>
          </w:tcPr>
          <w:p>
            <w:r/>
            <w:r>
              <w:rPr>
                <w:b w:val="0"/>
                <w:sz w:val="17"/>
              </w:rPr>
              <w:t>Calculate trend, momentum, volatility and volume indicators.</w:t>
            </w:r>
          </w:p>
        </w:tc>
        <w:tc>
          <w:tcPr>
            <w:tcW w:type="dxa" w:w="1800"/>
            <w:vAlign w:val="center"/>
            <w:shd w:fill="F7F9FB"/>
          </w:tcPr>
          <w:p>
            <w:r/>
            <w:r>
              <w:rPr>
                <w:b w:val="0"/>
                <w:sz w:val="17"/>
              </w:rPr>
              <w:t>Prototype</w:t>
            </w:r>
          </w:p>
        </w:tc>
        <w:tc>
          <w:tcPr>
            <w:tcW w:type="dxa" w:w="1152"/>
            <w:vAlign w:val="center"/>
            <w:shd w:fill="F7F9FB"/>
          </w:tcPr>
          <w:p>
            <w:r/>
            <w:r>
              <w:rPr>
                <w:b w:val="0"/>
                <w:sz w:val="17"/>
              </w:rPr>
              <w:t>Must</w:t>
            </w:r>
          </w:p>
        </w:tc>
      </w:tr>
      <w:tr>
        <w:tc>
          <w:tcPr>
            <w:tcW w:type="dxa" w:w="864"/>
            <w:vAlign w:val="center"/>
          </w:tcPr>
          <w:p>
            <w:r/>
            <w:r>
              <w:rPr>
                <w:b w:val="0"/>
                <w:sz w:val="17"/>
              </w:rPr>
              <w:t>FR-05</w:t>
            </w:r>
          </w:p>
        </w:tc>
        <w:tc>
          <w:tcPr>
            <w:tcW w:type="dxa" w:w="5616"/>
            <w:vAlign w:val="center"/>
          </w:tcPr>
          <w:p>
            <w:r/>
            <w:r>
              <w:rPr>
                <w:b w:val="0"/>
                <w:sz w:val="17"/>
              </w:rPr>
              <w:t>Display a one-day rise probability from the active model.</w:t>
            </w:r>
          </w:p>
        </w:tc>
        <w:tc>
          <w:tcPr>
            <w:tcW w:type="dxa" w:w="1800"/>
            <w:vAlign w:val="center"/>
          </w:tcPr>
          <w:p>
            <w:r/>
            <w:r>
              <w:rPr>
                <w:b w:val="0"/>
                <w:sz w:val="17"/>
              </w:rPr>
              <w:t>Prototype</w:t>
            </w:r>
          </w:p>
        </w:tc>
        <w:tc>
          <w:tcPr>
            <w:tcW w:type="dxa" w:w="1152"/>
            <w:vAlign w:val="center"/>
          </w:tcPr>
          <w:p>
            <w:r/>
            <w:r>
              <w:rPr>
                <w:b w:val="0"/>
                <w:sz w:val="17"/>
              </w:rPr>
              <w:t>Must</w:t>
            </w:r>
          </w:p>
        </w:tc>
      </w:tr>
      <w:tr>
        <w:tc>
          <w:tcPr>
            <w:tcW w:type="dxa" w:w="864"/>
            <w:vAlign w:val="center"/>
            <w:shd w:fill="F7F9FB"/>
          </w:tcPr>
          <w:p>
            <w:r/>
            <w:r>
              <w:rPr>
                <w:b w:val="0"/>
                <w:sz w:val="17"/>
              </w:rPr>
              <w:t>FR-06</w:t>
            </w:r>
          </w:p>
        </w:tc>
        <w:tc>
          <w:tcPr>
            <w:tcW w:type="dxa" w:w="5616"/>
            <w:vAlign w:val="center"/>
            <w:shd w:fill="F7F9FB"/>
          </w:tcPr>
          <w:p>
            <w:r/>
            <w:r>
              <w:rPr>
                <w:b w:val="0"/>
                <w:sz w:val="17"/>
              </w:rPr>
              <w:t>Display a distinct bullish/neutral/bearish technical outlook.</w:t>
            </w:r>
          </w:p>
        </w:tc>
        <w:tc>
          <w:tcPr>
            <w:tcW w:type="dxa" w:w="1800"/>
            <w:vAlign w:val="center"/>
            <w:shd w:fill="F7F9FB"/>
          </w:tcPr>
          <w:p>
            <w:r/>
            <w:r>
              <w:rPr>
                <w:b w:val="0"/>
                <w:sz w:val="17"/>
              </w:rPr>
              <w:t>Prototype</w:t>
            </w:r>
          </w:p>
        </w:tc>
        <w:tc>
          <w:tcPr>
            <w:tcW w:type="dxa" w:w="1152"/>
            <w:vAlign w:val="center"/>
            <w:shd w:fill="F7F9FB"/>
          </w:tcPr>
          <w:p>
            <w:r/>
            <w:r>
              <w:rPr>
                <w:b w:val="0"/>
                <w:sz w:val="17"/>
              </w:rPr>
              <w:t>Must</w:t>
            </w:r>
          </w:p>
        </w:tc>
      </w:tr>
      <w:tr>
        <w:tc>
          <w:tcPr>
            <w:tcW w:type="dxa" w:w="864"/>
            <w:vAlign w:val="center"/>
          </w:tcPr>
          <w:p>
            <w:r/>
            <w:r>
              <w:rPr>
                <w:b w:val="0"/>
                <w:sz w:val="17"/>
              </w:rPr>
              <w:t>FR-07</w:t>
            </w:r>
          </w:p>
        </w:tc>
        <w:tc>
          <w:tcPr>
            <w:tcW w:type="dxa" w:w="5616"/>
            <w:vAlign w:val="center"/>
          </w:tcPr>
          <w:p>
            <w:r/>
            <w:r>
              <w:rPr>
                <w:b w:val="0"/>
                <w:sz w:val="17"/>
              </w:rPr>
              <w:t>Explain indicator reasoning and influential model features.</w:t>
            </w:r>
          </w:p>
        </w:tc>
        <w:tc>
          <w:tcPr>
            <w:tcW w:type="dxa" w:w="1800"/>
            <w:vAlign w:val="center"/>
          </w:tcPr>
          <w:p>
            <w:r/>
            <w:r>
              <w:rPr>
                <w:b w:val="0"/>
                <w:sz w:val="17"/>
              </w:rPr>
              <w:t>Prototype</w:t>
            </w:r>
          </w:p>
        </w:tc>
        <w:tc>
          <w:tcPr>
            <w:tcW w:type="dxa" w:w="1152"/>
            <w:vAlign w:val="center"/>
          </w:tcPr>
          <w:p>
            <w:r/>
            <w:r>
              <w:rPr>
                <w:b w:val="0"/>
                <w:sz w:val="17"/>
              </w:rPr>
              <w:t>Should</w:t>
            </w:r>
          </w:p>
        </w:tc>
      </w:tr>
      <w:tr>
        <w:tc>
          <w:tcPr>
            <w:tcW w:type="dxa" w:w="864"/>
            <w:vAlign w:val="center"/>
            <w:shd w:fill="F7F9FB"/>
          </w:tcPr>
          <w:p>
            <w:r/>
            <w:r>
              <w:rPr>
                <w:b w:val="0"/>
                <w:sz w:val="17"/>
              </w:rPr>
              <w:t>FR-08</w:t>
            </w:r>
          </w:p>
        </w:tc>
        <w:tc>
          <w:tcPr>
            <w:tcW w:type="dxa" w:w="5616"/>
            <w:vAlign w:val="center"/>
            <w:shd w:fill="F7F9FB"/>
          </w:tcPr>
          <w:p>
            <w:r/>
            <w:r>
              <w:rPr>
                <w:b w:val="0"/>
                <w:sz w:val="17"/>
              </w:rPr>
              <w:t>Handle invalid tickers, missing history and provider failures clearly.</w:t>
            </w:r>
          </w:p>
        </w:tc>
        <w:tc>
          <w:tcPr>
            <w:tcW w:type="dxa" w:w="1800"/>
            <w:vAlign w:val="center"/>
            <w:shd w:fill="F7F9FB"/>
          </w:tcPr>
          <w:p>
            <w:r/>
            <w:r>
              <w:rPr>
                <w:b w:val="0"/>
                <w:sz w:val="17"/>
              </w:rPr>
              <w:t>Prototype</w:t>
            </w:r>
          </w:p>
        </w:tc>
        <w:tc>
          <w:tcPr>
            <w:tcW w:type="dxa" w:w="1152"/>
            <w:vAlign w:val="center"/>
            <w:shd w:fill="F7F9FB"/>
          </w:tcPr>
          <w:p>
            <w:r/>
            <w:r>
              <w:rPr>
                <w:b w:val="0"/>
                <w:sz w:val="17"/>
              </w:rPr>
              <w:t>Must</w:t>
            </w:r>
          </w:p>
        </w:tc>
      </w:tr>
      <w:tr>
        <w:tc>
          <w:tcPr>
            <w:tcW w:type="dxa" w:w="864"/>
            <w:vAlign w:val="center"/>
          </w:tcPr>
          <w:p>
            <w:r/>
            <w:r>
              <w:rPr>
                <w:b w:val="0"/>
                <w:sz w:val="17"/>
              </w:rPr>
              <w:t>FR-09</w:t>
            </w:r>
          </w:p>
        </w:tc>
        <w:tc>
          <w:tcPr>
            <w:tcW w:type="dxa" w:w="5616"/>
            <w:vAlign w:val="center"/>
          </w:tcPr>
          <w:p>
            <w:r/>
            <w:r>
              <w:rPr>
                <w:b w:val="0"/>
                <w:sz w:val="17"/>
              </w:rPr>
              <w:t>Support 5-day and 21-day probabilities.</w:t>
            </w:r>
          </w:p>
        </w:tc>
        <w:tc>
          <w:tcPr>
            <w:tcW w:type="dxa" w:w="1800"/>
            <w:vAlign w:val="center"/>
          </w:tcPr>
          <w:p>
            <w:r/>
            <w:r>
              <w:rPr>
                <w:b w:val="0"/>
                <w:sz w:val="17"/>
              </w:rPr>
              <w:t>Portfolio MVP</w:t>
            </w:r>
          </w:p>
        </w:tc>
        <w:tc>
          <w:tcPr>
            <w:tcW w:type="dxa" w:w="1152"/>
            <w:vAlign w:val="center"/>
          </w:tcPr>
          <w:p>
            <w:r/>
            <w:r>
              <w:rPr>
                <w:b w:val="0"/>
                <w:sz w:val="17"/>
              </w:rPr>
              <w:t>Must</w:t>
            </w:r>
          </w:p>
        </w:tc>
      </w:tr>
      <w:tr>
        <w:tc>
          <w:tcPr>
            <w:tcW w:type="dxa" w:w="864"/>
            <w:vAlign w:val="center"/>
            <w:shd w:fill="F7F9FB"/>
          </w:tcPr>
          <w:p>
            <w:r/>
            <w:r>
              <w:rPr>
                <w:b w:val="0"/>
                <w:sz w:val="17"/>
              </w:rPr>
              <w:t>FR-10</w:t>
            </w:r>
          </w:p>
        </w:tc>
        <w:tc>
          <w:tcPr>
            <w:tcW w:type="dxa" w:w="5616"/>
            <w:vAlign w:val="center"/>
            <w:shd w:fill="F7F9FB"/>
          </w:tcPr>
          <w:p>
            <w:r/>
            <w:r>
              <w:rPr>
                <w:b w:val="0"/>
                <w:sz w:val="17"/>
              </w:rPr>
              <w:t>Allow managed Google sign-in.</w:t>
            </w:r>
          </w:p>
        </w:tc>
        <w:tc>
          <w:tcPr>
            <w:tcW w:type="dxa" w:w="1800"/>
            <w:vAlign w:val="center"/>
            <w:shd w:fill="F7F9FB"/>
          </w:tcPr>
          <w:p>
            <w:r/>
            <w:r>
              <w:rPr>
                <w:b w:val="0"/>
                <w:sz w:val="17"/>
              </w:rPr>
              <w:t>Portfolio MVP</w:t>
            </w:r>
          </w:p>
        </w:tc>
        <w:tc>
          <w:tcPr>
            <w:tcW w:type="dxa" w:w="1152"/>
            <w:vAlign w:val="center"/>
            <w:shd w:fill="F7F9FB"/>
          </w:tcPr>
          <w:p>
            <w:r/>
            <w:r>
              <w:rPr>
                <w:b w:val="0"/>
                <w:sz w:val="17"/>
              </w:rPr>
              <w:t>Must</w:t>
            </w:r>
          </w:p>
        </w:tc>
      </w:tr>
      <w:tr>
        <w:tc>
          <w:tcPr>
            <w:tcW w:type="dxa" w:w="864"/>
            <w:vAlign w:val="center"/>
          </w:tcPr>
          <w:p>
            <w:r/>
            <w:r>
              <w:rPr>
                <w:b w:val="0"/>
                <w:sz w:val="17"/>
              </w:rPr>
              <w:t>FR-11</w:t>
            </w:r>
          </w:p>
        </w:tc>
        <w:tc>
          <w:tcPr>
            <w:tcW w:type="dxa" w:w="5616"/>
            <w:vAlign w:val="center"/>
          </w:tcPr>
          <w:p>
            <w:r/>
            <w:r>
              <w:rPr>
                <w:b w:val="0"/>
                <w:sz w:val="17"/>
              </w:rPr>
              <w:t>Allow users to create and maintain a private watchlist.</w:t>
            </w:r>
          </w:p>
        </w:tc>
        <w:tc>
          <w:tcPr>
            <w:tcW w:type="dxa" w:w="1800"/>
            <w:vAlign w:val="center"/>
          </w:tcPr>
          <w:p>
            <w:r/>
            <w:r>
              <w:rPr>
                <w:b w:val="0"/>
                <w:sz w:val="17"/>
              </w:rPr>
              <w:t>Portfolio MVP</w:t>
            </w:r>
          </w:p>
        </w:tc>
        <w:tc>
          <w:tcPr>
            <w:tcW w:type="dxa" w:w="1152"/>
            <w:vAlign w:val="center"/>
          </w:tcPr>
          <w:p>
            <w:r/>
            <w:r>
              <w:rPr>
                <w:b w:val="0"/>
                <w:sz w:val="17"/>
              </w:rPr>
              <w:t>Must</w:t>
            </w:r>
          </w:p>
        </w:tc>
      </w:tr>
      <w:tr>
        <w:tc>
          <w:tcPr>
            <w:tcW w:type="dxa" w:w="864"/>
            <w:vAlign w:val="center"/>
            <w:shd w:fill="F7F9FB"/>
          </w:tcPr>
          <w:p>
            <w:r/>
            <w:r>
              <w:rPr>
                <w:b w:val="0"/>
                <w:sz w:val="17"/>
              </w:rPr>
              <w:t>FR-12</w:t>
            </w:r>
          </w:p>
        </w:tc>
        <w:tc>
          <w:tcPr>
            <w:tcW w:type="dxa" w:w="5616"/>
            <w:vAlign w:val="center"/>
            <w:shd w:fill="F7F9FB"/>
          </w:tcPr>
          <w:p>
            <w:r/>
            <w:r>
              <w:rPr>
                <w:b w:val="0"/>
                <w:sz w:val="17"/>
              </w:rPr>
              <w:t>Update required tickers after each ASX trading day.</w:t>
            </w:r>
          </w:p>
        </w:tc>
        <w:tc>
          <w:tcPr>
            <w:tcW w:type="dxa" w:w="1800"/>
            <w:vAlign w:val="center"/>
            <w:shd w:fill="F7F9FB"/>
          </w:tcPr>
          <w:p>
            <w:r/>
            <w:r>
              <w:rPr>
                <w:b w:val="0"/>
                <w:sz w:val="17"/>
              </w:rPr>
              <w:t>Portfolio MVP</w:t>
            </w:r>
          </w:p>
        </w:tc>
        <w:tc>
          <w:tcPr>
            <w:tcW w:type="dxa" w:w="1152"/>
            <w:vAlign w:val="center"/>
            <w:shd w:fill="F7F9FB"/>
          </w:tcPr>
          <w:p>
            <w:r/>
            <w:r>
              <w:rPr>
                <w:b w:val="0"/>
                <w:sz w:val="17"/>
              </w:rPr>
              <w:t>Must</w:t>
            </w:r>
          </w:p>
        </w:tc>
      </w:tr>
      <w:tr>
        <w:tc>
          <w:tcPr>
            <w:tcW w:type="dxa" w:w="864"/>
            <w:vAlign w:val="center"/>
          </w:tcPr>
          <w:p>
            <w:r/>
            <w:r>
              <w:rPr>
                <w:b w:val="0"/>
                <w:sz w:val="17"/>
              </w:rPr>
              <w:t>FR-13</w:t>
            </w:r>
          </w:p>
        </w:tc>
        <w:tc>
          <w:tcPr>
            <w:tcW w:type="dxa" w:w="5616"/>
            <w:vAlign w:val="center"/>
          </w:tcPr>
          <w:p>
            <w:r/>
            <w:r>
              <w:rPr>
                <w:b w:val="0"/>
                <w:sz w:val="17"/>
              </w:rPr>
              <w:t>Retrain candidate models monthly and retain model versions.</w:t>
            </w:r>
          </w:p>
        </w:tc>
        <w:tc>
          <w:tcPr>
            <w:tcW w:type="dxa" w:w="1800"/>
            <w:vAlign w:val="center"/>
          </w:tcPr>
          <w:p>
            <w:r/>
            <w:r>
              <w:rPr>
                <w:b w:val="0"/>
                <w:sz w:val="17"/>
              </w:rPr>
              <w:t>Portfolio MVP</w:t>
            </w:r>
          </w:p>
        </w:tc>
        <w:tc>
          <w:tcPr>
            <w:tcW w:type="dxa" w:w="1152"/>
            <w:vAlign w:val="center"/>
          </w:tcPr>
          <w:p>
            <w:r/>
            <w:r>
              <w:rPr>
                <w:b w:val="0"/>
                <w:sz w:val="17"/>
              </w:rPr>
              <w:t>Must</w:t>
            </w:r>
          </w:p>
        </w:tc>
      </w:tr>
    </w:tbl>
    <w:p/>
    <w:p>
      <w:pPr>
        <w:pStyle w:val="Heading1"/>
      </w:pPr>
      <w:r>
        <w:t>6. Non-functional requirements</w:t>
      </w:r>
    </w:p>
    <w:tbl>
      <w:tblPr>
        <w:tblStyle w:val="TableGrid"/>
        <w:tblW w:type="auto" w:w="0"/>
        <w:jc w:val="center"/>
        <w:tblLook w:firstColumn="1" w:firstRow="1" w:lastColumn="0" w:lastRow="0" w:noHBand="0" w:noVBand="1" w:val="04A0"/>
      </w:tblPr>
      <w:tblGrid>
        <w:gridCol w:w="4997"/>
        <w:gridCol w:w="4997"/>
      </w:tblGrid>
      <w:tr>
        <w:trPr>
          <w:tblHeader w:val="true"/>
          <w:tblHeader w:val="true"/>
        </w:trPr>
        <w:tc>
          <w:tcPr>
            <w:tcW w:type="dxa" w:w="1800"/>
            <w:vAlign w:val="center"/>
            <w:shd w:fill="1F4E78"/>
          </w:tcPr>
          <w:p>
            <w:r/>
            <w:r>
              <w:rPr>
                <w:b/>
                <w:color w:val="FFFFFF"/>
                <w:sz w:val="18"/>
              </w:rPr>
              <w:t>Category</w:t>
            </w:r>
          </w:p>
        </w:tc>
        <w:tc>
          <w:tcPr>
            <w:tcW w:type="dxa" w:w="7848"/>
            <w:vAlign w:val="center"/>
            <w:shd w:fill="1F4E78"/>
          </w:tcPr>
          <w:p>
            <w:r/>
            <w:r>
              <w:rPr>
                <w:b/>
                <w:color w:val="FFFFFF"/>
                <w:sz w:val="18"/>
              </w:rPr>
              <w:t>Requirement</w:t>
            </w:r>
          </w:p>
        </w:tc>
      </w:tr>
      <w:tr>
        <w:tc>
          <w:tcPr>
            <w:tcW w:type="dxa" w:w="1800"/>
            <w:vAlign w:val="center"/>
          </w:tcPr>
          <w:p>
            <w:r/>
            <w:r>
              <w:rPr>
                <w:b w:val="0"/>
                <w:sz w:val="17"/>
              </w:rPr>
              <w:t>Accuracy</w:t>
            </w:r>
          </w:p>
        </w:tc>
        <w:tc>
          <w:tcPr>
            <w:tcW w:type="dxa" w:w="7848"/>
            <w:vAlign w:val="center"/>
          </w:tcPr>
          <w:p>
            <w:r/>
            <w:r>
              <w:rPr>
                <w:b w:val="0"/>
                <w:sz w:val="17"/>
              </w:rPr>
              <w:t>All features must use information available on or before the prediction timestamp.</w:t>
            </w:r>
          </w:p>
        </w:tc>
      </w:tr>
      <w:tr>
        <w:tc>
          <w:tcPr>
            <w:tcW w:type="dxa" w:w="1800"/>
            <w:vAlign w:val="center"/>
            <w:shd w:fill="F7F9FB"/>
          </w:tcPr>
          <w:p>
            <w:r/>
            <w:r>
              <w:rPr>
                <w:b w:val="0"/>
                <w:sz w:val="17"/>
              </w:rPr>
              <w:t>Reliability</w:t>
            </w:r>
          </w:p>
        </w:tc>
        <w:tc>
          <w:tcPr>
            <w:tcW w:type="dxa" w:w="7848"/>
            <w:vAlign w:val="center"/>
            <w:shd w:fill="F7F9FB"/>
          </w:tcPr>
          <w:p>
            <w:r/>
            <w:r>
              <w:rPr>
                <w:b w:val="0"/>
                <w:sz w:val="17"/>
              </w:rPr>
              <w:t>A failed refresh must not replace the last valid data or prediction.</w:t>
            </w:r>
          </w:p>
        </w:tc>
      </w:tr>
      <w:tr>
        <w:tc>
          <w:tcPr>
            <w:tcW w:type="dxa" w:w="1800"/>
            <w:vAlign w:val="center"/>
          </w:tcPr>
          <w:p>
            <w:r/>
            <w:r>
              <w:rPr>
                <w:b w:val="0"/>
                <w:sz w:val="17"/>
              </w:rPr>
              <w:t>Performance</w:t>
            </w:r>
          </w:p>
        </w:tc>
        <w:tc>
          <w:tcPr>
            <w:tcW w:type="dxa" w:w="7848"/>
            <w:vAlign w:val="center"/>
          </w:tcPr>
          <w:p>
            <w:r/>
            <w:r>
              <w:rPr>
                <w:b w:val="0"/>
                <w:sz w:val="17"/>
              </w:rPr>
              <w:t>Cached ticker analysis should normally load within five seconds.</w:t>
            </w:r>
          </w:p>
        </w:tc>
      </w:tr>
      <w:tr>
        <w:tc>
          <w:tcPr>
            <w:tcW w:type="dxa" w:w="1800"/>
            <w:vAlign w:val="center"/>
            <w:shd w:fill="F7F9FB"/>
          </w:tcPr>
          <w:p>
            <w:r/>
            <w:r>
              <w:rPr>
                <w:b w:val="0"/>
                <w:sz w:val="17"/>
              </w:rPr>
              <w:t>Security</w:t>
            </w:r>
          </w:p>
        </w:tc>
        <w:tc>
          <w:tcPr>
            <w:tcW w:type="dxa" w:w="7848"/>
            <w:vAlign w:val="center"/>
            <w:shd w:fill="F7F9FB"/>
          </w:tcPr>
          <w:p>
            <w:r/>
            <w:r>
              <w:rPr>
                <w:b w:val="0"/>
                <w:sz w:val="17"/>
              </w:rPr>
              <w:t>No passwords are stored; secrets remain outside source control; users access only their own watchlists.</w:t>
            </w:r>
          </w:p>
        </w:tc>
      </w:tr>
      <w:tr>
        <w:tc>
          <w:tcPr>
            <w:tcW w:type="dxa" w:w="1800"/>
            <w:vAlign w:val="center"/>
          </w:tcPr>
          <w:p>
            <w:r/>
            <w:r>
              <w:rPr>
                <w:b w:val="0"/>
                <w:sz w:val="17"/>
              </w:rPr>
              <w:t>Explainability</w:t>
            </w:r>
          </w:p>
        </w:tc>
        <w:tc>
          <w:tcPr>
            <w:tcW w:type="dxa" w:w="7848"/>
            <w:vAlign w:val="center"/>
          </w:tcPr>
          <w:p>
            <w:r/>
            <w:r>
              <w:rPr>
                <w:b w:val="0"/>
                <w:sz w:val="17"/>
              </w:rPr>
              <w:t>Probabilities are accompanied by model and indicator context.</w:t>
            </w:r>
          </w:p>
        </w:tc>
      </w:tr>
      <w:tr>
        <w:tc>
          <w:tcPr>
            <w:tcW w:type="dxa" w:w="1800"/>
            <w:vAlign w:val="center"/>
            <w:shd w:fill="F7F9FB"/>
          </w:tcPr>
          <w:p>
            <w:r/>
            <w:r>
              <w:rPr>
                <w:b w:val="0"/>
                <w:sz w:val="17"/>
              </w:rPr>
              <w:t>Maintainability</w:t>
            </w:r>
          </w:p>
        </w:tc>
        <w:tc>
          <w:tcPr>
            <w:tcW w:type="dxa" w:w="7848"/>
            <w:vAlign w:val="center"/>
            <w:shd w:fill="F7F9FB"/>
          </w:tcPr>
          <w:p>
            <w:r/>
            <w:r>
              <w:rPr>
                <w:b w:val="0"/>
                <w:sz w:val="17"/>
              </w:rPr>
              <w:t>UI, data access, feature engineering, modelling and evaluation remain separate.</w:t>
            </w:r>
          </w:p>
        </w:tc>
      </w:tr>
      <w:tr>
        <w:tc>
          <w:tcPr>
            <w:tcW w:type="dxa" w:w="1800"/>
            <w:vAlign w:val="center"/>
          </w:tcPr>
          <w:p>
            <w:r/>
            <w:r>
              <w:rPr>
                <w:b w:val="0"/>
                <w:sz w:val="17"/>
              </w:rPr>
              <w:t>Reproducibility</w:t>
            </w:r>
          </w:p>
        </w:tc>
        <w:tc>
          <w:tcPr>
            <w:tcW w:type="dxa" w:w="7848"/>
            <w:vAlign w:val="center"/>
          </w:tcPr>
          <w:p>
            <w:r/>
            <w:r>
              <w:rPr>
                <w:b w:val="0"/>
                <w:sz w:val="17"/>
              </w:rPr>
              <w:t>Data dates, feature configuration, split periods, model parameters and versions are recorded.</w:t>
            </w:r>
          </w:p>
        </w:tc>
      </w:tr>
      <w:tr>
        <w:tc>
          <w:tcPr>
            <w:tcW w:type="dxa" w:w="1800"/>
            <w:vAlign w:val="center"/>
            <w:shd w:fill="F7F9FB"/>
          </w:tcPr>
          <w:p>
            <w:r/>
            <w:r>
              <w:rPr>
                <w:b w:val="0"/>
                <w:sz w:val="17"/>
              </w:rPr>
              <w:t>Accessibility</w:t>
            </w:r>
          </w:p>
        </w:tc>
        <w:tc>
          <w:tcPr>
            <w:tcW w:type="dxa" w:w="7848"/>
            <w:vAlign w:val="center"/>
            <w:shd w:fill="F7F9FB"/>
          </w:tcPr>
          <w:p>
            <w:r/>
            <w:r>
              <w:rPr>
                <w:b w:val="0"/>
                <w:sz w:val="17"/>
              </w:rPr>
              <w:t>Charts do not rely on colour alone and core results also appear as text.</w:t>
            </w:r>
          </w:p>
        </w:tc>
      </w:tr>
      <w:tr>
        <w:tc>
          <w:tcPr>
            <w:tcW w:type="dxa" w:w="1800"/>
            <w:vAlign w:val="center"/>
          </w:tcPr>
          <w:p>
            <w:r/>
            <w:r>
              <w:rPr>
                <w:b w:val="0"/>
                <w:sz w:val="17"/>
              </w:rPr>
              <w:t>Cost</w:t>
            </w:r>
          </w:p>
        </w:tc>
        <w:tc>
          <w:tcPr>
            <w:tcW w:type="dxa" w:w="7848"/>
            <w:vAlign w:val="center"/>
          </w:tcPr>
          <w:p>
            <w:r/>
            <w:r>
              <w:rPr>
                <w:b w:val="0"/>
                <w:sz w:val="17"/>
              </w:rPr>
              <w:t>Prototype data and hosting use free options; future paid resources require cost controls.</w:t>
            </w:r>
          </w:p>
        </w:tc>
      </w:tr>
    </w:tbl>
    <w:p/>
    <w:p>
      <w:pPr>
        <w:pStyle w:val="Heading1"/>
      </w:pPr>
      <w:r>
        <w:t>7. Data specification</w:t>
      </w:r>
    </w:p>
    <w:p>
      <w:pPr>
        <w:pStyle w:val="Heading2"/>
      </w:pPr>
      <w:r>
        <w:t>7.1 Coverage</w:t>
      </w:r>
    </w:p>
    <w:p>
      <w:pPr>
        <w:pStyle w:val="ListBullet"/>
      </w:pPr>
      <w:r>
        <w:t>Market: Australian Securities Exchange (ASX).</w:t>
      </w:r>
    </w:p>
    <w:p>
      <w:pPr>
        <w:pStyle w:val="ListBullet"/>
      </w:pPr>
      <w:r>
        <w:t>Frequency: end-of-day data after market close.</w:t>
      </w:r>
    </w:p>
    <w:p>
      <w:pPr>
        <w:pStyle w:val="ListBullet"/>
      </w:pPr>
      <w:r>
        <w:t>History: rolling most recent five years.</w:t>
      </w:r>
    </w:p>
    <w:p>
      <w:pPr>
        <w:pStyle w:val="ListBullet"/>
      </w:pPr>
      <w:r>
        <w:t>Shared-model training universe: ASX 100 constituents, with the constituent version and retrieval date recorded.</w:t>
      </w:r>
    </w:p>
    <w:p>
      <w:pPr>
        <w:pStyle w:val="ListBullet"/>
      </w:pPr>
      <w:r>
        <w:t>Prototype demonstration: DRO.AX plus nine diversified large ASX companies.</w:t>
      </w:r>
    </w:p>
    <w:p>
      <w:pPr>
        <w:pStyle w:val="ListBullet"/>
      </w:pPr>
      <w:r>
        <w:t>Currency: Australian dollars where supplied by the provider.</w:t>
      </w:r>
    </w:p>
    <w:p>
      <w:pPr>
        <w:pStyle w:val="Heading2"/>
      </w:pPr>
      <w:r>
        <w:t>7.2 Required raw fields</w:t>
      </w:r>
    </w:p>
    <w:tbl>
      <w:tblPr>
        <w:tblStyle w:val="TableGrid"/>
        <w:tblW w:type="auto" w:w="0"/>
        <w:jc w:val="center"/>
        <w:tblLook w:firstColumn="1" w:firstRow="1" w:lastColumn="0" w:lastRow="0" w:noHBand="0" w:noVBand="1" w:val="04A0"/>
      </w:tblPr>
      <w:tblGrid>
        <w:gridCol w:w="4997"/>
        <w:gridCol w:w="4997"/>
      </w:tblGrid>
      <w:tr>
        <w:trPr>
          <w:tblHeader w:val="true"/>
          <w:tblHeader w:val="true"/>
        </w:trPr>
        <w:tc>
          <w:tcPr>
            <w:tcW w:type="dxa" w:w="2880"/>
            <w:vAlign w:val="center"/>
            <w:shd w:fill="1F4E78"/>
          </w:tcPr>
          <w:p>
            <w:r/>
            <w:r>
              <w:rPr>
                <w:b/>
                <w:color w:val="FFFFFF"/>
                <w:sz w:val="18"/>
              </w:rPr>
              <w:t>Field</w:t>
            </w:r>
          </w:p>
        </w:tc>
        <w:tc>
          <w:tcPr>
            <w:tcW w:type="dxa" w:w="6768"/>
            <w:vAlign w:val="center"/>
            <w:shd w:fill="1F4E78"/>
          </w:tcPr>
          <w:p>
            <w:r/>
            <w:r>
              <w:rPr>
                <w:b/>
                <w:color w:val="FFFFFF"/>
                <w:sz w:val="18"/>
              </w:rPr>
              <w:t>Purpose</w:t>
            </w:r>
          </w:p>
        </w:tc>
      </w:tr>
      <w:tr>
        <w:tc>
          <w:tcPr>
            <w:tcW w:type="dxa" w:w="2880"/>
            <w:vAlign w:val="center"/>
          </w:tcPr>
          <w:p>
            <w:r/>
            <w:r>
              <w:rPr>
                <w:b w:val="0"/>
                <w:sz w:val="17"/>
              </w:rPr>
              <w:t>ticker</w:t>
            </w:r>
          </w:p>
        </w:tc>
        <w:tc>
          <w:tcPr>
            <w:tcW w:type="dxa" w:w="6768"/>
            <w:vAlign w:val="center"/>
          </w:tcPr>
          <w:p>
            <w:r/>
            <w:r>
              <w:rPr>
                <w:b w:val="0"/>
                <w:sz w:val="17"/>
              </w:rPr>
              <w:t>Security identifier</w:t>
            </w:r>
          </w:p>
        </w:tc>
      </w:tr>
      <w:tr>
        <w:tc>
          <w:tcPr>
            <w:tcW w:type="dxa" w:w="2880"/>
            <w:vAlign w:val="center"/>
            <w:shd w:fill="F7F9FB"/>
          </w:tcPr>
          <w:p>
            <w:r/>
            <w:r>
              <w:rPr>
                <w:b w:val="0"/>
                <w:sz w:val="17"/>
              </w:rPr>
              <w:t>trading_date</w:t>
            </w:r>
          </w:p>
        </w:tc>
        <w:tc>
          <w:tcPr>
            <w:tcW w:type="dxa" w:w="6768"/>
            <w:vAlign w:val="center"/>
            <w:shd w:fill="F7F9FB"/>
          </w:tcPr>
          <w:p>
            <w:r/>
            <w:r>
              <w:rPr>
                <w:b w:val="0"/>
                <w:sz w:val="17"/>
              </w:rPr>
              <w:t>Market session date</w:t>
            </w:r>
          </w:p>
        </w:tc>
      </w:tr>
      <w:tr>
        <w:tc>
          <w:tcPr>
            <w:tcW w:type="dxa" w:w="2880"/>
            <w:vAlign w:val="center"/>
          </w:tcPr>
          <w:p>
            <w:r/>
            <w:r>
              <w:rPr>
                <w:b w:val="0"/>
                <w:sz w:val="17"/>
              </w:rPr>
              <w:t>open</w:t>
            </w:r>
          </w:p>
        </w:tc>
        <w:tc>
          <w:tcPr>
            <w:tcW w:type="dxa" w:w="6768"/>
            <w:vAlign w:val="center"/>
          </w:tcPr>
          <w:p>
            <w:r/>
            <w:r>
              <w:rPr>
                <w:b w:val="0"/>
                <w:sz w:val="17"/>
              </w:rPr>
              <w:t>Opening price</w:t>
            </w:r>
          </w:p>
        </w:tc>
      </w:tr>
      <w:tr>
        <w:tc>
          <w:tcPr>
            <w:tcW w:type="dxa" w:w="2880"/>
            <w:vAlign w:val="center"/>
            <w:shd w:fill="F7F9FB"/>
          </w:tcPr>
          <w:p>
            <w:r/>
            <w:r>
              <w:rPr>
                <w:b w:val="0"/>
                <w:sz w:val="17"/>
              </w:rPr>
              <w:t>high</w:t>
            </w:r>
          </w:p>
        </w:tc>
        <w:tc>
          <w:tcPr>
            <w:tcW w:type="dxa" w:w="6768"/>
            <w:vAlign w:val="center"/>
            <w:shd w:fill="F7F9FB"/>
          </w:tcPr>
          <w:p>
            <w:r/>
            <w:r>
              <w:rPr>
                <w:b w:val="0"/>
                <w:sz w:val="17"/>
              </w:rPr>
              <w:t>Highest price</w:t>
            </w:r>
          </w:p>
        </w:tc>
      </w:tr>
      <w:tr>
        <w:tc>
          <w:tcPr>
            <w:tcW w:type="dxa" w:w="2880"/>
            <w:vAlign w:val="center"/>
          </w:tcPr>
          <w:p>
            <w:r/>
            <w:r>
              <w:rPr>
                <w:b w:val="0"/>
                <w:sz w:val="17"/>
              </w:rPr>
              <w:t>low</w:t>
            </w:r>
          </w:p>
        </w:tc>
        <w:tc>
          <w:tcPr>
            <w:tcW w:type="dxa" w:w="6768"/>
            <w:vAlign w:val="center"/>
          </w:tcPr>
          <w:p>
            <w:r/>
            <w:r>
              <w:rPr>
                <w:b w:val="0"/>
                <w:sz w:val="17"/>
              </w:rPr>
              <w:t>Lowest price</w:t>
            </w:r>
          </w:p>
        </w:tc>
      </w:tr>
      <w:tr>
        <w:tc>
          <w:tcPr>
            <w:tcW w:type="dxa" w:w="2880"/>
            <w:vAlign w:val="center"/>
            <w:shd w:fill="F7F9FB"/>
          </w:tcPr>
          <w:p>
            <w:r/>
            <w:r>
              <w:rPr>
                <w:b w:val="0"/>
                <w:sz w:val="17"/>
              </w:rPr>
              <w:t>close</w:t>
            </w:r>
          </w:p>
        </w:tc>
        <w:tc>
          <w:tcPr>
            <w:tcW w:type="dxa" w:w="6768"/>
            <w:vAlign w:val="center"/>
            <w:shd w:fill="F7F9FB"/>
          </w:tcPr>
          <w:p>
            <w:r/>
            <w:r>
              <w:rPr>
                <w:b w:val="0"/>
                <w:sz w:val="17"/>
              </w:rPr>
              <w:t>Closing price</w:t>
            </w:r>
          </w:p>
        </w:tc>
      </w:tr>
      <w:tr>
        <w:tc>
          <w:tcPr>
            <w:tcW w:type="dxa" w:w="2880"/>
            <w:vAlign w:val="center"/>
          </w:tcPr>
          <w:p>
            <w:r/>
            <w:r>
              <w:rPr>
                <w:b w:val="0"/>
                <w:sz w:val="17"/>
              </w:rPr>
              <w:t>adjusted_close</w:t>
            </w:r>
          </w:p>
        </w:tc>
        <w:tc>
          <w:tcPr>
            <w:tcW w:type="dxa" w:w="6768"/>
            <w:vAlign w:val="center"/>
          </w:tcPr>
          <w:p>
            <w:r/>
            <w:r>
              <w:rPr>
                <w:b w:val="0"/>
                <w:sz w:val="17"/>
              </w:rPr>
              <w:t>Split/dividend-adjusted close when supported</w:t>
            </w:r>
          </w:p>
        </w:tc>
      </w:tr>
      <w:tr>
        <w:tc>
          <w:tcPr>
            <w:tcW w:type="dxa" w:w="2880"/>
            <w:vAlign w:val="center"/>
            <w:shd w:fill="F7F9FB"/>
          </w:tcPr>
          <w:p>
            <w:r/>
            <w:r>
              <w:rPr>
                <w:b w:val="0"/>
                <w:sz w:val="17"/>
              </w:rPr>
              <w:t>volume</w:t>
            </w:r>
          </w:p>
        </w:tc>
        <w:tc>
          <w:tcPr>
            <w:tcW w:type="dxa" w:w="6768"/>
            <w:vAlign w:val="center"/>
            <w:shd w:fill="F7F9FB"/>
          </w:tcPr>
          <w:p>
            <w:r/>
            <w:r>
              <w:rPr>
                <w:b w:val="0"/>
                <w:sz w:val="17"/>
              </w:rPr>
              <w:t>Trading volume</w:t>
            </w:r>
          </w:p>
        </w:tc>
      </w:tr>
      <w:tr>
        <w:tc>
          <w:tcPr>
            <w:tcW w:type="dxa" w:w="2880"/>
            <w:vAlign w:val="center"/>
          </w:tcPr>
          <w:p>
            <w:r/>
            <w:r>
              <w:rPr>
                <w:b w:val="0"/>
                <w:sz w:val="17"/>
              </w:rPr>
              <w:t>source</w:t>
            </w:r>
          </w:p>
        </w:tc>
        <w:tc>
          <w:tcPr>
            <w:tcW w:type="dxa" w:w="6768"/>
            <w:vAlign w:val="center"/>
          </w:tcPr>
          <w:p>
            <w:r/>
            <w:r>
              <w:rPr>
                <w:b w:val="0"/>
                <w:sz w:val="17"/>
              </w:rPr>
              <w:t>Provider identifier</w:t>
            </w:r>
          </w:p>
        </w:tc>
      </w:tr>
      <w:tr>
        <w:tc>
          <w:tcPr>
            <w:tcW w:type="dxa" w:w="2880"/>
            <w:vAlign w:val="center"/>
            <w:shd w:fill="F7F9FB"/>
          </w:tcPr>
          <w:p>
            <w:r/>
            <w:r>
              <w:rPr>
                <w:b w:val="0"/>
                <w:sz w:val="17"/>
              </w:rPr>
              <w:t>ingested_at</w:t>
            </w:r>
          </w:p>
        </w:tc>
        <w:tc>
          <w:tcPr>
            <w:tcW w:type="dxa" w:w="6768"/>
            <w:vAlign w:val="center"/>
            <w:shd w:fill="F7F9FB"/>
          </w:tcPr>
          <w:p>
            <w:r/>
            <w:r>
              <w:rPr>
                <w:b w:val="0"/>
                <w:sz w:val="17"/>
              </w:rPr>
              <w:t>Audit timestamp</w:t>
            </w:r>
          </w:p>
        </w:tc>
      </w:tr>
    </w:tbl>
    <w:p/>
    <w:p>
      <w:pPr>
        <w:pStyle w:val="Heading2"/>
      </w:pPr>
      <w:r>
        <w:t>7.3 Provider decision gate</w:t>
      </w:r>
    </w:p>
    <w:p>
      <w:r>
        <w:t>A free provider will be used for the prototype. Before implementation, candidate providers must be checked against current official documentation for ASX coverage, adjusted-price support, historical depth, rate limits, reliability, licensing and permission to display data publicly. The provider will be wrapped behind a MarketDataProvider interface so it can be replaced later.</w:t>
      </w:r>
    </w:p>
    <w:p>
      <w:pPr>
        <w:pStyle w:val="Heading2"/>
      </w:pPr>
      <w:r>
        <w:t>7.4 Data-quality rules</w:t>
      </w:r>
    </w:p>
    <w:p>
      <w:pPr>
        <w:pStyle w:val="ListBullet"/>
      </w:pPr>
      <w:r>
        <w:t>Reject duplicate ticker/date records.</w:t>
      </w:r>
    </w:p>
    <w:p>
      <w:pPr>
        <w:pStyle w:val="ListBullet"/>
      </w:pPr>
      <w:r>
        <w:t>Sort observations by ticker and trading date.</w:t>
      </w:r>
    </w:p>
    <w:p>
      <w:pPr>
        <w:pStyle w:val="ListBullet"/>
      </w:pPr>
      <w:r>
        <w:t>Flag impossible or non-positive prices.</w:t>
      </w:r>
    </w:p>
    <w:p>
      <w:pPr>
        <w:pStyle w:val="ListBullet"/>
      </w:pPr>
      <w:r>
        <w:t>Check that high is not below open, close or low, and low is not above them.</w:t>
      </w:r>
    </w:p>
    <w:p>
      <w:pPr>
        <w:pStyle w:val="ListBullet"/>
      </w:pPr>
      <w:r>
        <w:t>Preserve missing trading sessions rather than forward-filling prices blindly.</w:t>
      </w:r>
    </w:p>
    <w:p>
      <w:pPr>
        <w:pStyle w:val="ListBullet"/>
      </w:pPr>
      <w:r>
        <w:t>Require a defined minimum history before generating a prediction.</w:t>
      </w:r>
    </w:p>
    <w:p>
      <w:pPr>
        <w:pStyle w:val="ListBullet"/>
      </w:pPr>
      <w:r>
        <w:t>Log source failures and stale data.</w:t>
      </w:r>
    </w:p>
    <w:p>
      <w:pPr>
        <w:pStyle w:val="Heading1"/>
      </w:pPr>
      <w:r>
        <w:t>8. Feature and target design</w:t>
      </w:r>
    </w:p>
    <w:tbl>
      <w:tblPr>
        <w:tblStyle w:val="TableGrid"/>
        <w:tblW w:type="auto" w:w="0"/>
        <w:jc w:val="center"/>
        <w:tblLook w:firstColumn="1" w:firstRow="1" w:lastColumn="0" w:lastRow="0" w:noHBand="0" w:noVBand="1" w:val="04A0"/>
      </w:tblPr>
      <w:tblGrid>
        <w:gridCol w:w="4997"/>
        <w:gridCol w:w="4997"/>
      </w:tblGrid>
      <w:tr>
        <w:trPr>
          <w:tblHeader w:val="true"/>
          <w:tblHeader w:val="true"/>
        </w:trPr>
        <w:tc>
          <w:tcPr>
            <w:tcW w:type="dxa" w:w="1944"/>
            <w:vAlign w:val="center"/>
            <w:shd w:fill="1F4E78"/>
          </w:tcPr>
          <w:p>
            <w:r/>
            <w:r>
              <w:rPr>
                <w:b/>
                <w:color w:val="FFFFFF"/>
                <w:sz w:val="18"/>
              </w:rPr>
              <w:t>Family</w:t>
            </w:r>
          </w:p>
        </w:tc>
        <w:tc>
          <w:tcPr>
            <w:tcW w:type="dxa" w:w="7704"/>
            <w:vAlign w:val="center"/>
            <w:shd w:fill="1F4E78"/>
          </w:tcPr>
          <w:p>
            <w:r/>
            <w:r>
              <w:rPr>
                <w:b/>
                <w:color w:val="FFFFFF"/>
                <w:sz w:val="18"/>
              </w:rPr>
              <w:t>Initial features</w:t>
            </w:r>
          </w:p>
        </w:tc>
      </w:tr>
      <w:tr>
        <w:tc>
          <w:tcPr>
            <w:tcW w:type="dxa" w:w="1944"/>
            <w:vAlign w:val="center"/>
          </w:tcPr>
          <w:p>
            <w:r/>
            <w:r>
              <w:rPr>
                <w:b w:val="0"/>
                <w:sz w:val="17"/>
              </w:rPr>
              <w:t>Trend</w:t>
            </w:r>
          </w:p>
        </w:tc>
        <w:tc>
          <w:tcPr>
            <w:tcW w:type="dxa" w:w="7704"/>
            <w:vAlign w:val="center"/>
          </w:tcPr>
          <w:p>
            <w:r/>
            <w:r>
              <w:rPr>
                <w:b w:val="0"/>
                <w:sz w:val="17"/>
              </w:rPr>
              <w:t>SMA, EMA, price-to-average ratios and moving-average crossover relationships</w:t>
            </w:r>
          </w:p>
        </w:tc>
      </w:tr>
      <w:tr>
        <w:tc>
          <w:tcPr>
            <w:tcW w:type="dxa" w:w="1944"/>
            <w:vAlign w:val="center"/>
            <w:shd w:fill="F7F9FB"/>
          </w:tcPr>
          <w:p>
            <w:r/>
            <w:r>
              <w:rPr>
                <w:b w:val="0"/>
                <w:sz w:val="17"/>
              </w:rPr>
              <w:t>Momentum</w:t>
            </w:r>
          </w:p>
        </w:tc>
        <w:tc>
          <w:tcPr>
            <w:tcW w:type="dxa" w:w="7704"/>
            <w:vAlign w:val="center"/>
            <w:shd w:fill="F7F9FB"/>
          </w:tcPr>
          <w:p>
            <w:r/>
            <w:r>
              <w:rPr>
                <w:b w:val="0"/>
                <w:sz w:val="17"/>
              </w:rPr>
              <w:t>RSI, MACD, MACD signal/histogram and rate of change</w:t>
            </w:r>
          </w:p>
        </w:tc>
      </w:tr>
      <w:tr>
        <w:tc>
          <w:tcPr>
            <w:tcW w:type="dxa" w:w="1944"/>
            <w:vAlign w:val="center"/>
          </w:tcPr>
          <w:p>
            <w:r/>
            <w:r>
              <w:rPr>
                <w:b w:val="0"/>
                <w:sz w:val="17"/>
              </w:rPr>
              <w:t>Volatility</w:t>
            </w:r>
          </w:p>
        </w:tc>
        <w:tc>
          <w:tcPr>
            <w:tcW w:type="dxa" w:w="7704"/>
            <w:vAlign w:val="center"/>
          </w:tcPr>
          <w:p>
            <w:r/>
            <w:r>
              <w:rPr>
                <w:b w:val="0"/>
                <w:sz w:val="17"/>
              </w:rPr>
              <w:t>Bollinger Band position/width, ATR and rolling return volatility</w:t>
            </w:r>
          </w:p>
        </w:tc>
      </w:tr>
      <w:tr>
        <w:tc>
          <w:tcPr>
            <w:tcW w:type="dxa" w:w="1944"/>
            <w:vAlign w:val="center"/>
            <w:shd w:fill="F7F9FB"/>
          </w:tcPr>
          <w:p>
            <w:r/>
            <w:r>
              <w:rPr>
                <w:b w:val="0"/>
                <w:sz w:val="17"/>
              </w:rPr>
              <w:t>Volume</w:t>
            </w:r>
          </w:p>
        </w:tc>
        <w:tc>
          <w:tcPr>
            <w:tcW w:type="dxa" w:w="7704"/>
            <w:vAlign w:val="center"/>
            <w:shd w:fill="F7F9FB"/>
          </w:tcPr>
          <w:p>
            <w:r/>
            <w:r>
              <w:rPr>
                <w:b w:val="0"/>
                <w:sz w:val="17"/>
              </w:rPr>
              <w:t>Volume change, rolling average volume, relative volume and OBV</w:t>
            </w:r>
          </w:p>
        </w:tc>
      </w:tr>
    </w:tbl>
    <w:p/>
    <w:p>
      <w:r>
        <w:t>Indicator windows will be centrally configured and calculated independently per ticker. Features will be expressed as ratios, rates or standardised values where possible so a shared model can generalise across stocks with different price levels.</w:t>
      </w:r>
    </w:p>
    <w:p>
      <w:pPr>
        <w:pStyle w:val="Heading2"/>
      </w:pPr>
      <w:r>
        <w:t>8.1 Target definition</w:t>
      </w:r>
    </w:p>
    <w:p>
      <w:r>
        <w:t>For horizon h, future return is (adjusted_close[t+h] / adjusted_close[t]) - 1. The positive class is reached only when future return exceeds a stock-specific volatility-adjusted threshold. The planned threshold is k x daily_volatility x sqrt(h). The volatility window and k are hyperparameters selected using training/validation data only. Horizons are 1, 5 and 21 trading sessions; the prototype implements h=1 first.</w:t>
      </w:r>
    </w:p>
    <w:p>
      <w:pPr>
        <w:pStyle w:val="Heading1"/>
      </w:pPr>
      <w:r>
        <w:t>9. Modelling and evaluation</w:t>
      </w:r>
    </w:p>
    <w:p>
      <w:pPr>
        <w:pStyle w:val="Heading2"/>
      </w:pPr>
      <w:r>
        <w:t>9.1 Shared-model approach</w:t>
      </w:r>
    </w:p>
    <w:p>
      <w:r>
        <w:t>One pooled model will learn from stock-day observations across the ASX 100 universe. All rolling calculations occur within ticker. Time-based splitting is mandatory. The design must prevent the same future market period from appearing in training while another stock from that period appears in validation.</w:t>
      </w:r>
    </w:p>
    <w:p>
      <w:pPr>
        <w:pStyle w:val="Heading2"/>
      </w:pPr>
      <w:r>
        <w:t>9.2 Candidate models</w:t>
      </w:r>
    </w:p>
    <w:tbl>
      <w:tblPr>
        <w:tblStyle w:val="TableGrid"/>
        <w:tblW w:type="auto" w:w="0"/>
        <w:jc w:val="center"/>
        <w:tblLook w:firstColumn="1" w:firstRow="1" w:lastColumn="0" w:lastRow="0" w:noHBand="0" w:noVBand="1" w:val="04A0"/>
      </w:tblPr>
      <w:tblGrid>
        <w:gridCol w:w="4997"/>
        <w:gridCol w:w="4997"/>
      </w:tblGrid>
      <w:tr>
        <w:trPr>
          <w:tblHeader w:val="true"/>
          <w:tblHeader w:val="true"/>
        </w:trPr>
        <w:tc>
          <w:tcPr>
            <w:tcW w:type="dxa" w:w="3024"/>
            <w:vAlign w:val="center"/>
            <w:shd w:fill="1F4E78"/>
          </w:tcPr>
          <w:p>
            <w:r/>
            <w:r>
              <w:rPr>
                <w:b/>
                <w:color w:val="FFFFFF"/>
                <w:sz w:val="18"/>
              </w:rPr>
              <w:t>Role</w:t>
            </w:r>
          </w:p>
        </w:tc>
        <w:tc>
          <w:tcPr>
            <w:tcW w:type="dxa" w:w="6624"/>
            <w:vAlign w:val="center"/>
            <w:shd w:fill="1F4E78"/>
          </w:tcPr>
          <w:p>
            <w:r/>
            <w:r>
              <w:rPr>
                <w:b/>
                <w:color w:val="FFFFFF"/>
                <w:sz w:val="18"/>
              </w:rPr>
              <w:t>Model</w:t>
            </w:r>
          </w:p>
        </w:tc>
      </w:tr>
      <w:tr>
        <w:tc>
          <w:tcPr>
            <w:tcW w:type="dxa" w:w="3024"/>
            <w:vAlign w:val="center"/>
          </w:tcPr>
          <w:p>
            <w:r/>
            <w:r>
              <w:rPr>
                <w:b w:val="0"/>
                <w:sz w:val="17"/>
              </w:rPr>
              <w:t>Baselines</w:t>
            </w:r>
          </w:p>
        </w:tc>
        <w:tc>
          <w:tcPr>
            <w:tcW w:type="dxa" w:w="6624"/>
            <w:vAlign w:val="center"/>
          </w:tcPr>
          <w:p>
            <w:r/>
            <w:r>
              <w:rPr>
                <w:b w:val="0"/>
                <w:sz w:val="17"/>
              </w:rPr>
              <w:t>Majority class, historical positive-rate baseline and previous-direction rule</w:t>
            </w:r>
          </w:p>
        </w:tc>
      </w:tr>
      <w:tr>
        <w:tc>
          <w:tcPr>
            <w:tcW w:type="dxa" w:w="3024"/>
            <w:vAlign w:val="center"/>
            <w:shd w:fill="F7F9FB"/>
          </w:tcPr>
          <w:p>
            <w:r/>
            <w:r>
              <w:rPr>
                <w:b w:val="0"/>
                <w:sz w:val="17"/>
              </w:rPr>
              <w:t>Interpretable classifier</w:t>
            </w:r>
          </w:p>
        </w:tc>
        <w:tc>
          <w:tcPr>
            <w:tcW w:type="dxa" w:w="6624"/>
            <w:vAlign w:val="center"/>
            <w:shd w:fill="F7F9FB"/>
          </w:tcPr>
          <w:p>
            <w:r/>
            <w:r>
              <w:rPr>
                <w:b w:val="0"/>
                <w:sz w:val="17"/>
              </w:rPr>
              <w:t>Logistic Regression</w:t>
            </w:r>
          </w:p>
        </w:tc>
      </w:tr>
      <w:tr>
        <w:tc>
          <w:tcPr>
            <w:tcW w:type="dxa" w:w="3024"/>
            <w:vAlign w:val="center"/>
          </w:tcPr>
          <w:p>
            <w:r/>
            <w:r>
              <w:rPr>
                <w:b w:val="0"/>
                <w:sz w:val="17"/>
              </w:rPr>
              <w:t>Nonlinear classifiers</w:t>
            </w:r>
          </w:p>
        </w:tc>
        <w:tc>
          <w:tcPr>
            <w:tcW w:type="dxa" w:w="6624"/>
            <w:vAlign w:val="center"/>
          </w:tcPr>
          <w:p>
            <w:r/>
            <w:r>
              <w:rPr>
                <w:b w:val="0"/>
                <w:sz w:val="17"/>
              </w:rPr>
              <w:t>Random Forest and XGBoost</w:t>
            </w:r>
          </w:p>
        </w:tc>
      </w:tr>
      <w:tr>
        <w:tc>
          <w:tcPr>
            <w:tcW w:type="dxa" w:w="3024"/>
            <w:vAlign w:val="center"/>
            <w:shd w:fill="F7F9FB"/>
          </w:tcPr>
          <w:p>
            <w:r/>
            <w:r>
              <w:rPr>
                <w:b w:val="0"/>
                <w:sz w:val="17"/>
              </w:rPr>
              <w:t>Classical time-series benchmark</w:t>
            </w:r>
          </w:p>
        </w:tc>
        <w:tc>
          <w:tcPr>
            <w:tcW w:type="dxa" w:w="6624"/>
            <w:vAlign w:val="center"/>
            <w:shd w:fill="F7F9FB"/>
          </w:tcPr>
          <w:p>
            <w:r/>
            <w:r>
              <w:rPr>
                <w:b w:val="0"/>
                <w:sz w:val="17"/>
              </w:rPr>
              <w:t>ARIMA applied to returns; not treated as a direct probability classifier without a defensible conversion</w:t>
            </w:r>
          </w:p>
        </w:tc>
      </w:tr>
    </w:tbl>
    <w:p/>
    <w:p>
      <w:pPr>
        <w:pStyle w:val="Heading2"/>
      </w:pPr>
      <w:r>
        <w:t>9.3 Validation and test design</w:t>
      </w:r>
    </w:p>
    <w:p>
      <w:pPr>
        <w:pStyle w:val="ListBullet"/>
      </w:pPr>
      <w:r>
        <w:t>Use expanding-window or walk-forward validation.</w:t>
      </w:r>
    </w:p>
    <w:p>
      <w:pPr>
        <w:pStyle w:val="ListBullet"/>
      </w:pPr>
      <w:r>
        <w:t>Reserve the most recent period as an untouched final test set.</w:t>
      </w:r>
    </w:p>
    <w:p>
      <w:pPr>
        <w:pStyle w:val="ListBullet"/>
      </w:pPr>
      <w:r>
        <w:t>Fit scalers, selectors and thresholds within each training fold only.</w:t>
      </w:r>
    </w:p>
    <w:p>
      <w:pPr>
        <w:pStyle w:val="ListBullet"/>
      </w:pPr>
      <w:r>
        <w:t>Report performance by horizon, stock and market regime where feasible.</w:t>
      </w:r>
    </w:p>
    <w:p>
      <w:pPr>
        <w:pStyle w:val="ListBullet"/>
      </w:pPr>
      <w:r>
        <w:t>Keep final-test results out of model selection.</w:t>
      </w:r>
    </w:p>
    <w:p>
      <w:pPr>
        <w:pStyle w:val="ListBullet"/>
      </w:pPr>
      <w:r>
        <w:t>Record data coverage and excluded stocks.</w:t>
      </w:r>
    </w:p>
    <w:p>
      <w:pPr>
        <w:pStyle w:val="Heading2"/>
      </w:pPr>
      <w:r>
        <w:t>9.4 Selection framework</w:t>
      </w:r>
    </w:p>
    <w:tbl>
      <w:tblPr>
        <w:tblStyle w:val="TableGrid"/>
        <w:tblW w:type="auto" w:w="0"/>
        <w:jc w:val="center"/>
        <w:tblLook w:firstColumn="1" w:firstRow="1" w:lastColumn="0" w:lastRow="0" w:noHBand="0" w:noVBand="1" w:val="04A0"/>
      </w:tblPr>
      <w:tblGrid>
        <w:gridCol w:w="4997"/>
        <w:gridCol w:w="4997"/>
      </w:tblGrid>
      <w:tr>
        <w:trPr>
          <w:tblHeader w:val="true"/>
          <w:tblHeader w:val="true"/>
        </w:trPr>
        <w:tc>
          <w:tcPr>
            <w:tcW w:type="dxa" w:w="2448"/>
            <w:vAlign w:val="center"/>
            <w:shd w:fill="1F4E78"/>
          </w:tcPr>
          <w:p>
            <w:r/>
            <w:r>
              <w:rPr>
                <w:b/>
                <w:color w:val="FFFFFF"/>
                <w:sz w:val="18"/>
              </w:rPr>
              <w:t>Dimension</w:t>
            </w:r>
          </w:p>
        </w:tc>
        <w:tc>
          <w:tcPr>
            <w:tcW w:type="dxa" w:w="7200"/>
            <w:vAlign w:val="center"/>
            <w:shd w:fill="1F4E78"/>
          </w:tcPr>
          <w:p>
            <w:r/>
            <w:r>
              <w:rPr>
                <w:b/>
                <w:color w:val="FFFFFF"/>
                <w:sz w:val="18"/>
              </w:rPr>
              <w:t>Metrics</w:t>
            </w:r>
          </w:p>
        </w:tc>
      </w:tr>
      <w:tr>
        <w:tc>
          <w:tcPr>
            <w:tcW w:type="dxa" w:w="2448"/>
            <w:vAlign w:val="center"/>
          </w:tcPr>
          <w:p>
            <w:r/>
            <w:r>
              <w:rPr>
                <w:b w:val="0"/>
                <w:sz w:val="17"/>
              </w:rPr>
              <w:t>Probability quality</w:t>
            </w:r>
          </w:p>
        </w:tc>
        <w:tc>
          <w:tcPr>
            <w:tcW w:type="dxa" w:w="7200"/>
            <w:vAlign w:val="center"/>
          </w:tcPr>
          <w:p>
            <w:r/>
            <w:r>
              <w:rPr>
                <w:b w:val="0"/>
                <w:sz w:val="17"/>
              </w:rPr>
              <w:t>Brier score and log loss</w:t>
            </w:r>
          </w:p>
        </w:tc>
      </w:tr>
      <w:tr>
        <w:tc>
          <w:tcPr>
            <w:tcW w:type="dxa" w:w="2448"/>
            <w:vAlign w:val="center"/>
            <w:shd w:fill="F7F9FB"/>
          </w:tcPr>
          <w:p>
            <w:r/>
            <w:r>
              <w:rPr>
                <w:b w:val="0"/>
                <w:sz w:val="17"/>
              </w:rPr>
              <w:t>Discrimination</w:t>
            </w:r>
          </w:p>
        </w:tc>
        <w:tc>
          <w:tcPr>
            <w:tcW w:type="dxa" w:w="7200"/>
            <w:vAlign w:val="center"/>
            <w:shd w:fill="F7F9FB"/>
          </w:tcPr>
          <w:p>
            <w:r/>
            <w:r>
              <w:rPr>
                <w:b w:val="0"/>
                <w:sz w:val="17"/>
              </w:rPr>
              <w:t>ROC-AUC, precision, recall and F1</w:t>
            </w:r>
          </w:p>
        </w:tc>
      </w:tr>
      <w:tr>
        <w:tc>
          <w:tcPr>
            <w:tcW w:type="dxa" w:w="2448"/>
            <w:vAlign w:val="center"/>
          </w:tcPr>
          <w:p>
            <w:r/>
            <w:r>
              <w:rPr>
                <w:b w:val="0"/>
                <w:sz w:val="17"/>
              </w:rPr>
              <w:t>Calibration</w:t>
            </w:r>
          </w:p>
        </w:tc>
        <w:tc>
          <w:tcPr>
            <w:tcW w:type="dxa" w:w="7200"/>
            <w:vAlign w:val="center"/>
          </w:tcPr>
          <w:p>
            <w:r/>
            <w:r>
              <w:rPr>
                <w:b w:val="0"/>
                <w:sz w:val="17"/>
              </w:rPr>
              <w:t>Reliability plot and calibration error</w:t>
            </w:r>
          </w:p>
        </w:tc>
      </w:tr>
      <w:tr>
        <w:tc>
          <w:tcPr>
            <w:tcW w:type="dxa" w:w="2448"/>
            <w:vAlign w:val="center"/>
            <w:shd w:fill="F7F9FB"/>
          </w:tcPr>
          <w:p>
            <w:r/>
            <w:r>
              <w:rPr>
                <w:b w:val="0"/>
                <w:sz w:val="17"/>
              </w:rPr>
              <w:t>Economic simulation</w:t>
            </w:r>
          </w:p>
        </w:tc>
        <w:tc>
          <w:tcPr>
            <w:tcW w:type="dxa" w:w="7200"/>
            <w:vAlign w:val="center"/>
            <w:shd w:fill="F7F9FB"/>
          </w:tcPr>
          <w:p>
            <w:r/>
            <w:r>
              <w:rPr>
                <w:b w:val="0"/>
                <w:sz w:val="17"/>
              </w:rPr>
              <w:t>Return after estimated costs, Sharpe ratio and maximum drawdown</w:t>
            </w:r>
          </w:p>
        </w:tc>
      </w:tr>
      <w:tr>
        <w:tc>
          <w:tcPr>
            <w:tcW w:type="dxa" w:w="2448"/>
            <w:vAlign w:val="center"/>
          </w:tcPr>
          <w:p>
            <w:r/>
            <w:r>
              <w:rPr>
                <w:b w:val="0"/>
                <w:sz w:val="17"/>
              </w:rPr>
              <w:t>Robustness</w:t>
            </w:r>
          </w:p>
        </w:tc>
        <w:tc>
          <w:tcPr>
            <w:tcW w:type="dxa" w:w="7200"/>
            <w:vAlign w:val="center"/>
          </w:tcPr>
          <w:p>
            <w:r/>
            <w:r>
              <w:rPr>
                <w:b w:val="0"/>
                <w:sz w:val="17"/>
              </w:rPr>
              <w:t>Consistency across folds, stocks and periods</w:t>
            </w:r>
          </w:p>
        </w:tc>
      </w:tr>
      <w:tr>
        <w:tc>
          <w:tcPr>
            <w:tcW w:type="dxa" w:w="2448"/>
            <w:vAlign w:val="center"/>
            <w:shd w:fill="F7F9FB"/>
          </w:tcPr>
          <w:p>
            <w:r/>
            <w:r>
              <w:rPr>
                <w:b w:val="0"/>
                <w:sz w:val="17"/>
              </w:rPr>
              <w:t>Baseline test</w:t>
            </w:r>
          </w:p>
        </w:tc>
        <w:tc>
          <w:tcPr>
            <w:tcW w:type="dxa" w:w="7200"/>
            <w:vAlign w:val="center"/>
            <w:shd w:fill="F7F9FB"/>
          </w:tcPr>
          <w:p>
            <w:r/>
            <w:r>
              <w:rPr>
                <w:b w:val="0"/>
                <w:sz w:val="17"/>
              </w:rPr>
              <w:t>Improvement over simple non-ML baselines</w:t>
            </w:r>
          </w:p>
        </w:tc>
      </w:tr>
    </w:tbl>
    <w:p/>
    <w:p>
      <w:r>
        <w:t>Metric weights and minimum acceptance rules must be fixed before opening the final test set. If no model passes the baseline and reliability rules, EquityLens will state that no reliable predictive edge was detected.</w:t>
      </w:r>
    </w:p>
    <w:p>
      <w:pPr>
        <w:pStyle w:val="Heading1"/>
      </w:pPr>
      <w:r>
        <w:t>10. Technical outlook and explanation</w:t>
      </w:r>
    </w:p>
    <w:p>
      <w:r>
        <w:t>The machine-learning probability and technical outlook are separate outputs. The technical outlook is produced by documented indicator rules and labelled bullish, neutral or bearish. Disagreement is shown rather than hidden. Logistic Regression explanations use signed feature contributions; tree models may use SHAP. The interface shows approximately three to five influential factors and avoids causal language.</w:t>
      </w:r>
    </w:p>
    <w:p>
      <w:pPr>
        <w:pStyle w:val="Heading1"/>
      </w:pPr>
      <w:r>
        <w:t>11. Architecture</w:t>
      </w:r>
    </w:p>
    <w:p>
      <w:r>
        <w:t>Logical flow: market data provider -&gt; ingestion and validation -&gt; storage -&gt; indicator/feature pipeline -&gt; shared model and rule engine -&gt; evaluation/model registry -&gt; application services -&gt; Streamlit, followed later by FastAPI and React.</w:t>
      </w:r>
    </w:p>
    <w:tbl>
      <w:tblPr>
        <w:tblStyle w:val="TableGrid"/>
        <w:tblW w:type="auto" w:w="0"/>
        <w:jc w:val="center"/>
        <w:tblLook w:firstColumn="1" w:firstRow="1" w:lastColumn="0" w:lastRow="0" w:noHBand="0" w:noVBand="1" w:val="04A0"/>
      </w:tblPr>
      <w:tblGrid>
        <w:gridCol w:w="3331"/>
        <w:gridCol w:w="3331"/>
        <w:gridCol w:w="3331"/>
      </w:tblGrid>
      <w:tr>
        <w:trPr>
          <w:tblHeader w:val="true"/>
          <w:tblHeader w:val="true"/>
        </w:trPr>
        <w:tc>
          <w:tcPr>
            <w:tcW w:type="dxa" w:w="2088"/>
            <w:vAlign w:val="center"/>
            <w:shd w:fill="1F4E78"/>
          </w:tcPr>
          <w:p>
            <w:r/>
            <w:r>
              <w:rPr>
                <w:b/>
                <w:color w:val="FFFFFF"/>
                <w:sz w:val="18"/>
              </w:rPr>
              <w:t>Component</w:t>
            </w:r>
          </w:p>
        </w:tc>
        <w:tc>
          <w:tcPr>
            <w:tcW w:type="dxa" w:w="4680"/>
            <w:vAlign w:val="center"/>
            <w:shd w:fill="1F4E78"/>
          </w:tcPr>
          <w:p>
            <w:r/>
            <w:r>
              <w:rPr>
                <w:b/>
                <w:color w:val="FFFFFF"/>
                <w:sz w:val="18"/>
              </w:rPr>
              <w:t>Responsibility</w:t>
            </w:r>
          </w:p>
        </w:tc>
        <w:tc>
          <w:tcPr>
            <w:tcW w:type="dxa" w:w="2880"/>
            <w:vAlign w:val="center"/>
            <w:shd w:fill="1F4E78"/>
          </w:tcPr>
          <w:p>
            <w:r/>
            <w:r>
              <w:rPr>
                <w:b/>
                <w:color w:val="FFFFFF"/>
                <w:sz w:val="18"/>
              </w:rPr>
              <w:t>Candidate class/module</w:t>
            </w:r>
          </w:p>
        </w:tc>
      </w:tr>
      <w:tr>
        <w:tc>
          <w:tcPr>
            <w:tcW w:type="dxa" w:w="2088"/>
            <w:vAlign w:val="center"/>
          </w:tcPr>
          <w:p>
            <w:r/>
            <w:r>
              <w:rPr>
                <w:b w:val="0"/>
                <w:sz w:val="17"/>
              </w:rPr>
              <w:t>Provider adapter</w:t>
            </w:r>
          </w:p>
        </w:tc>
        <w:tc>
          <w:tcPr>
            <w:tcW w:type="dxa" w:w="4680"/>
            <w:vAlign w:val="center"/>
          </w:tcPr>
          <w:p>
            <w:r/>
            <w:r>
              <w:rPr>
                <w:b w:val="0"/>
                <w:sz w:val="17"/>
              </w:rPr>
              <w:t>Retrieve and standardise market data</w:t>
            </w:r>
          </w:p>
        </w:tc>
        <w:tc>
          <w:tcPr>
            <w:tcW w:type="dxa" w:w="2880"/>
            <w:vAlign w:val="center"/>
          </w:tcPr>
          <w:p>
            <w:r/>
            <w:r>
              <w:rPr>
                <w:b w:val="0"/>
                <w:sz w:val="17"/>
              </w:rPr>
              <w:t>MarketDataProvider</w:t>
            </w:r>
          </w:p>
        </w:tc>
      </w:tr>
      <w:tr>
        <w:tc>
          <w:tcPr>
            <w:tcW w:type="dxa" w:w="2088"/>
            <w:vAlign w:val="center"/>
            <w:shd w:fill="F7F9FB"/>
          </w:tcPr>
          <w:p>
            <w:r/>
            <w:r>
              <w:rPr>
                <w:b w:val="0"/>
                <w:sz w:val="17"/>
              </w:rPr>
              <w:t>Validation</w:t>
            </w:r>
          </w:p>
        </w:tc>
        <w:tc>
          <w:tcPr>
            <w:tcW w:type="dxa" w:w="4680"/>
            <w:vAlign w:val="center"/>
            <w:shd w:fill="F7F9FB"/>
          </w:tcPr>
          <w:p>
            <w:r/>
            <w:r>
              <w:rPr>
                <w:b w:val="0"/>
                <w:sz w:val="17"/>
              </w:rPr>
              <w:t>Schema and quality checks</w:t>
            </w:r>
          </w:p>
        </w:tc>
        <w:tc>
          <w:tcPr>
            <w:tcW w:type="dxa" w:w="2880"/>
            <w:vAlign w:val="center"/>
            <w:shd w:fill="F7F9FB"/>
          </w:tcPr>
          <w:p>
            <w:r/>
            <w:r>
              <w:rPr>
                <w:b w:val="0"/>
                <w:sz w:val="17"/>
              </w:rPr>
              <w:t>MarketDataValidator</w:t>
            </w:r>
          </w:p>
        </w:tc>
      </w:tr>
      <w:tr>
        <w:tc>
          <w:tcPr>
            <w:tcW w:type="dxa" w:w="2088"/>
            <w:vAlign w:val="center"/>
          </w:tcPr>
          <w:p>
            <w:r/>
            <w:r>
              <w:rPr>
                <w:b w:val="0"/>
                <w:sz w:val="17"/>
              </w:rPr>
              <w:t>Repository</w:t>
            </w:r>
          </w:p>
        </w:tc>
        <w:tc>
          <w:tcPr>
            <w:tcW w:type="dxa" w:w="4680"/>
            <w:vAlign w:val="center"/>
          </w:tcPr>
          <w:p>
            <w:r/>
            <w:r>
              <w:rPr>
                <w:b w:val="0"/>
                <w:sz w:val="17"/>
              </w:rPr>
              <w:t>Persist and retrieve entities</w:t>
            </w:r>
          </w:p>
        </w:tc>
        <w:tc>
          <w:tcPr>
            <w:tcW w:type="dxa" w:w="2880"/>
            <w:vAlign w:val="center"/>
          </w:tcPr>
          <w:p>
            <w:r/>
            <w:r>
              <w:rPr>
                <w:b w:val="0"/>
                <w:sz w:val="17"/>
              </w:rPr>
              <w:t>PriceRepository / PredictionRepository</w:t>
            </w:r>
          </w:p>
        </w:tc>
      </w:tr>
      <w:tr>
        <w:tc>
          <w:tcPr>
            <w:tcW w:type="dxa" w:w="2088"/>
            <w:vAlign w:val="center"/>
            <w:shd w:fill="F7F9FB"/>
          </w:tcPr>
          <w:p>
            <w:r/>
            <w:r>
              <w:rPr>
                <w:b w:val="0"/>
                <w:sz w:val="17"/>
              </w:rPr>
              <w:t>Feature pipeline</w:t>
            </w:r>
          </w:p>
        </w:tc>
        <w:tc>
          <w:tcPr>
            <w:tcW w:type="dxa" w:w="4680"/>
            <w:vAlign w:val="center"/>
            <w:shd w:fill="F7F9FB"/>
          </w:tcPr>
          <w:p>
            <w:r/>
            <w:r>
              <w:rPr>
                <w:b w:val="0"/>
                <w:sz w:val="17"/>
              </w:rPr>
              <w:t>Indicators, lags and target creation</w:t>
            </w:r>
          </w:p>
        </w:tc>
        <w:tc>
          <w:tcPr>
            <w:tcW w:type="dxa" w:w="2880"/>
            <w:vAlign w:val="center"/>
            <w:shd w:fill="F7F9FB"/>
          </w:tcPr>
          <w:p>
            <w:r/>
            <w:r>
              <w:rPr>
                <w:b w:val="0"/>
                <w:sz w:val="17"/>
              </w:rPr>
              <w:t>FeatureEngineer</w:t>
            </w:r>
          </w:p>
        </w:tc>
      </w:tr>
      <w:tr>
        <w:tc>
          <w:tcPr>
            <w:tcW w:type="dxa" w:w="2088"/>
            <w:vAlign w:val="center"/>
          </w:tcPr>
          <w:p>
            <w:r/>
            <w:r>
              <w:rPr>
                <w:b w:val="0"/>
                <w:sz w:val="17"/>
              </w:rPr>
              <w:t>Training</w:t>
            </w:r>
          </w:p>
        </w:tc>
        <w:tc>
          <w:tcPr>
            <w:tcW w:type="dxa" w:w="4680"/>
            <w:vAlign w:val="center"/>
          </w:tcPr>
          <w:p>
            <w:r/>
            <w:r>
              <w:rPr>
                <w:b w:val="0"/>
                <w:sz w:val="17"/>
              </w:rPr>
              <w:t>Fit candidates and record artefacts</w:t>
            </w:r>
          </w:p>
        </w:tc>
        <w:tc>
          <w:tcPr>
            <w:tcW w:type="dxa" w:w="2880"/>
            <w:vAlign w:val="center"/>
          </w:tcPr>
          <w:p>
            <w:r/>
            <w:r>
              <w:rPr>
                <w:b w:val="0"/>
                <w:sz w:val="17"/>
              </w:rPr>
              <w:t>ModelTrainer</w:t>
            </w:r>
          </w:p>
        </w:tc>
      </w:tr>
      <w:tr>
        <w:tc>
          <w:tcPr>
            <w:tcW w:type="dxa" w:w="2088"/>
            <w:vAlign w:val="center"/>
            <w:shd w:fill="F7F9FB"/>
          </w:tcPr>
          <w:p>
            <w:r/>
            <w:r>
              <w:rPr>
                <w:b w:val="0"/>
                <w:sz w:val="17"/>
              </w:rPr>
              <w:t>Evaluation</w:t>
            </w:r>
          </w:p>
        </w:tc>
        <w:tc>
          <w:tcPr>
            <w:tcW w:type="dxa" w:w="4680"/>
            <w:vAlign w:val="center"/>
            <w:shd w:fill="F7F9FB"/>
          </w:tcPr>
          <w:p>
            <w:r/>
            <w:r>
              <w:rPr>
                <w:b w:val="0"/>
                <w:sz w:val="17"/>
              </w:rPr>
              <w:t>Walk-forward metrics and baselines</w:t>
            </w:r>
          </w:p>
        </w:tc>
        <w:tc>
          <w:tcPr>
            <w:tcW w:type="dxa" w:w="2880"/>
            <w:vAlign w:val="center"/>
            <w:shd w:fill="F7F9FB"/>
          </w:tcPr>
          <w:p>
            <w:r/>
            <w:r>
              <w:rPr>
                <w:b w:val="0"/>
                <w:sz w:val="17"/>
              </w:rPr>
              <w:t>ModelEvaluator</w:t>
            </w:r>
          </w:p>
        </w:tc>
      </w:tr>
      <w:tr>
        <w:tc>
          <w:tcPr>
            <w:tcW w:type="dxa" w:w="2088"/>
            <w:vAlign w:val="center"/>
          </w:tcPr>
          <w:p>
            <w:r/>
            <w:r>
              <w:rPr>
                <w:b w:val="0"/>
                <w:sz w:val="17"/>
              </w:rPr>
              <w:t>Selection</w:t>
            </w:r>
          </w:p>
        </w:tc>
        <w:tc>
          <w:tcPr>
            <w:tcW w:type="dxa" w:w="4680"/>
            <w:vAlign w:val="center"/>
          </w:tcPr>
          <w:p>
            <w:r/>
            <w:r>
              <w:rPr>
                <w:b w:val="0"/>
                <w:sz w:val="17"/>
              </w:rPr>
              <w:t>Apply acceptance and balanced-score rules</w:t>
            </w:r>
          </w:p>
        </w:tc>
        <w:tc>
          <w:tcPr>
            <w:tcW w:type="dxa" w:w="2880"/>
            <w:vAlign w:val="center"/>
          </w:tcPr>
          <w:p>
            <w:r/>
            <w:r>
              <w:rPr>
                <w:b w:val="0"/>
                <w:sz w:val="17"/>
              </w:rPr>
              <w:t>ModelSelector</w:t>
            </w:r>
          </w:p>
        </w:tc>
      </w:tr>
      <w:tr>
        <w:tc>
          <w:tcPr>
            <w:tcW w:type="dxa" w:w="2088"/>
            <w:vAlign w:val="center"/>
            <w:shd w:fill="F7F9FB"/>
          </w:tcPr>
          <w:p>
            <w:r/>
            <w:r>
              <w:rPr>
                <w:b w:val="0"/>
                <w:sz w:val="17"/>
              </w:rPr>
              <w:t>Outlook</w:t>
            </w:r>
          </w:p>
        </w:tc>
        <w:tc>
          <w:tcPr>
            <w:tcW w:type="dxa" w:w="4680"/>
            <w:vAlign w:val="center"/>
            <w:shd w:fill="F7F9FB"/>
          </w:tcPr>
          <w:p>
            <w:r/>
            <w:r>
              <w:rPr>
                <w:b w:val="0"/>
                <w:sz w:val="17"/>
              </w:rPr>
              <w:t>Rule-based technical interpretation</w:t>
            </w:r>
          </w:p>
        </w:tc>
        <w:tc>
          <w:tcPr>
            <w:tcW w:type="dxa" w:w="2880"/>
            <w:vAlign w:val="center"/>
            <w:shd w:fill="F7F9FB"/>
          </w:tcPr>
          <w:p>
            <w:r/>
            <w:r>
              <w:rPr>
                <w:b w:val="0"/>
                <w:sz w:val="17"/>
              </w:rPr>
              <w:t>TechnicalOutlookEngine</w:t>
            </w:r>
          </w:p>
        </w:tc>
      </w:tr>
      <w:tr>
        <w:tc>
          <w:tcPr>
            <w:tcW w:type="dxa" w:w="2088"/>
            <w:vAlign w:val="center"/>
          </w:tcPr>
          <w:p>
            <w:r/>
            <w:r>
              <w:rPr>
                <w:b w:val="0"/>
                <w:sz w:val="17"/>
              </w:rPr>
              <w:t>Application service</w:t>
            </w:r>
          </w:p>
        </w:tc>
        <w:tc>
          <w:tcPr>
            <w:tcW w:type="dxa" w:w="4680"/>
            <w:vAlign w:val="center"/>
          </w:tcPr>
          <w:p>
            <w:r/>
            <w:r>
              <w:rPr>
                <w:b w:val="0"/>
                <w:sz w:val="17"/>
              </w:rPr>
              <w:t>Coordinate user requests</w:t>
            </w:r>
          </w:p>
        </w:tc>
        <w:tc>
          <w:tcPr>
            <w:tcW w:type="dxa" w:w="2880"/>
            <w:vAlign w:val="center"/>
          </w:tcPr>
          <w:p>
            <w:r/>
            <w:r>
              <w:rPr>
                <w:b w:val="0"/>
                <w:sz w:val="17"/>
              </w:rPr>
              <w:t>EquityAnalysisService</w:t>
            </w:r>
          </w:p>
        </w:tc>
      </w:tr>
      <w:tr>
        <w:tc>
          <w:tcPr>
            <w:tcW w:type="dxa" w:w="2088"/>
            <w:vAlign w:val="center"/>
            <w:shd w:fill="F7F9FB"/>
          </w:tcPr>
          <w:p>
            <w:r/>
            <w:r>
              <w:rPr>
                <w:b w:val="0"/>
                <w:sz w:val="17"/>
              </w:rPr>
              <w:t>UI/API</w:t>
            </w:r>
          </w:p>
        </w:tc>
        <w:tc>
          <w:tcPr>
            <w:tcW w:type="dxa" w:w="4680"/>
            <w:vAlign w:val="center"/>
            <w:shd w:fill="F7F9FB"/>
          </w:tcPr>
          <w:p>
            <w:r/>
            <w:r>
              <w:rPr>
                <w:b w:val="0"/>
                <w:sz w:val="17"/>
              </w:rPr>
              <w:t>Present results without embedding business logic</w:t>
            </w:r>
          </w:p>
        </w:tc>
        <w:tc>
          <w:tcPr>
            <w:tcW w:type="dxa" w:w="2880"/>
            <w:vAlign w:val="center"/>
            <w:shd w:fill="F7F9FB"/>
          </w:tcPr>
          <w:p>
            <w:r/>
            <w:r>
              <w:rPr>
                <w:b w:val="0"/>
                <w:sz w:val="17"/>
              </w:rPr>
              <w:t>Streamlit pages / FastAPI routes</w:t>
            </w:r>
          </w:p>
        </w:tc>
      </w:tr>
    </w:tbl>
    <w:p/>
    <w:p>
      <w:pPr>
        <w:pStyle w:val="Heading1"/>
      </w:pPr>
      <w:r>
        <w:t>12. Database direction</w:t>
      </w:r>
    </w:p>
    <w:p>
      <w:r>
        <w:t>The portfolio MVP will use SQL Server Developer Edition locally and Azure SQL Database after migration. The prototype may use a lighter local cache to protect the 14-hour deadline, provided repository interfaces make the later database migration straightforward.</w:t>
      </w:r>
    </w:p>
    <w:tbl>
      <w:tblPr>
        <w:tblStyle w:val="TableGrid"/>
        <w:tblW w:type="auto" w:w="0"/>
        <w:jc w:val="center"/>
        <w:tblLook w:firstColumn="1" w:firstRow="1" w:lastColumn="0" w:lastRow="0" w:noHBand="0" w:noVBand="1" w:val="04A0"/>
      </w:tblPr>
      <w:tblGrid>
        <w:gridCol w:w="4997"/>
        <w:gridCol w:w="4997"/>
      </w:tblGrid>
      <w:tr>
        <w:trPr>
          <w:tblHeader w:val="true"/>
          <w:tblHeader w:val="true"/>
        </w:trPr>
        <w:tc>
          <w:tcPr>
            <w:tcW w:type="dxa" w:w="2880"/>
            <w:vAlign w:val="center"/>
            <w:shd w:fill="1F4E78"/>
          </w:tcPr>
          <w:p>
            <w:r/>
            <w:r>
              <w:rPr>
                <w:b/>
                <w:color w:val="FFFFFF"/>
                <w:sz w:val="18"/>
              </w:rPr>
              <w:t>Entity</w:t>
            </w:r>
          </w:p>
        </w:tc>
        <w:tc>
          <w:tcPr>
            <w:tcW w:type="dxa" w:w="6768"/>
            <w:vAlign w:val="center"/>
            <w:shd w:fill="1F4E78"/>
          </w:tcPr>
          <w:p>
            <w:r/>
            <w:r>
              <w:rPr>
                <w:b/>
                <w:color w:val="FFFFFF"/>
                <w:sz w:val="18"/>
              </w:rPr>
              <w:t>Key contents</w:t>
            </w:r>
          </w:p>
        </w:tc>
      </w:tr>
      <w:tr>
        <w:tc>
          <w:tcPr>
            <w:tcW w:type="dxa" w:w="2880"/>
            <w:vAlign w:val="center"/>
          </w:tcPr>
          <w:p>
            <w:r/>
            <w:r>
              <w:rPr>
                <w:b w:val="0"/>
                <w:sz w:val="17"/>
              </w:rPr>
              <w:t>users</w:t>
            </w:r>
          </w:p>
        </w:tc>
        <w:tc>
          <w:tcPr>
            <w:tcW w:type="dxa" w:w="6768"/>
            <w:vAlign w:val="center"/>
          </w:tcPr>
          <w:p>
            <w:r/>
            <w:r>
              <w:rPr>
                <w:b w:val="0"/>
                <w:sz w:val="17"/>
              </w:rPr>
              <w:t>Internal ID, Google provider subject, email/display name, timestamps</w:t>
            </w:r>
          </w:p>
        </w:tc>
      </w:tr>
      <w:tr>
        <w:tc>
          <w:tcPr>
            <w:tcW w:type="dxa" w:w="2880"/>
            <w:vAlign w:val="center"/>
            <w:shd w:fill="F7F9FB"/>
          </w:tcPr>
          <w:p>
            <w:r/>
            <w:r>
              <w:rPr>
                <w:b w:val="0"/>
                <w:sz w:val="17"/>
              </w:rPr>
              <w:t>stocks</w:t>
            </w:r>
          </w:p>
        </w:tc>
        <w:tc>
          <w:tcPr>
            <w:tcW w:type="dxa" w:w="6768"/>
            <w:vAlign w:val="center"/>
            <w:shd w:fill="F7F9FB"/>
          </w:tcPr>
          <w:p>
            <w:r/>
            <w:r>
              <w:rPr>
                <w:b w:val="0"/>
                <w:sz w:val="17"/>
              </w:rPr>
              <w:t>Ticker, name, exchange, currency, active status</w:t>
            </w:r>
          </w:p>
        </w:tc>
      </w:tr>
      <w:tr>
        <w:tc>
          <w:tcPr>
            <w:tcW w:type="dxa" w:w="2880"/>
            <w:vAlign w:val="center"/>
          </w:tcPr>
          <w:p>
            <w:r/>
            <w:r>
              <w:rPr>
                <w:b w:val="0"/>
                <w:sz w:val="17"/>
              </w:rPr>
              <w:t>daily_prices</w:t>
            </w:r>
          </w:p>
        </w:tc>
        <w:tc>
          <w:tcPr>
            <w:tcW w:type="dxa" w:w="6768"/>
            <w:vAlign w:val="center"/>
          </w:tcPr>
          <w:p>
            <w:r/>
            <w:r>
              <w:rPr>
                <w:b w:val="0"/>
                <w:sz w:val="17"/>
              </w:rPr>
              <w:t>Stock ID, trading date, OHLC, adjusted close, volume, source</w:t>
            </w:r>
          </w:p>
        </w:tc>
      </w:tr>
      <w:tr>
        <w:tc>
          <w:tcPr>
            <w:tcW w:type="dxa" w:w="2880"/>
            <w:vAlign w:val="center"/>
            <w:shd w:fill="F7F9FB"/>
          </w:tcPr>
          <w:p>
            <w:r/>
            <w:r>
              <w:rPr>
                <w:b w:val="0"/>
                <w:sz w:val="17"/>
              </w:rPr>
              <w:t>technical_features</w:t>
            </w:r>
          </w:p>
        </w:tc>
        <w:tc>
          <w:tcPr>
            <w:tcW w:type="dxa" w:w="6768"/>
            <w:vAlign w:val="center"/>
            <w:shd w:fill="F7F9FB"/>
          </w:tcPr>
          <w:p>
            <w:r/>
            <w:r>
              <w:rPr>
                <w:b w:val="0"/>
                <w:sz w:val="17"/>
              </w:rPr>
              <w:t>Stock ID, date, feature-set version and calculated values</w:t>
            </w:r>
          </w:p>
        </w:tc>
      </w:tr>
      <w:tr>
        <w:tc>
          <w:tcPr>
            <w:tcW w:type="dxa" w:w="2880"/>
            <w:vAlign w:val="center"/>
          </w:tcPr>
          <w:p>
            <w:r/>
            <w:r>
              <w:rPr>
                <w:b w:val="0"/>
                <w:sz w:val="17"/>
              </w:rPr>
              <w:t>model_versions</w:t>
            </w:r>
          </w:p>
        </w:tc>
        <w:tc>
          <w:tcPr>
            <w:tcW w:type="dxa" w:w="6768"/>
            <w:vAlign w:val="center"/>
          </w:tcPr>
          <w:p>
            <w:r/>
            <w:r>
              <w:rPr>
                <w:b w:val="0"/>
                <w:sz w:val="17"/>
              </w:rPr>
              <w:t>Horizon, algorithm, training dates, parameters, metrics and activation status</w:t>
            </w:r>
          </w:p>
        </w:tc>
      </w:tr>
      <w:tr>
        <w:tc>
          <w:tcPr>
            <w:tcW w:type="dxa" w:w="2880"/>
            <w:vAlign w:val="center"/>
            <w:shd w:fill="F7F9FB"/>
          </w:tcPr>
          <w:p>
            <w:r/>
            <w:r>
              <w:rPr>
                <w:b w:val="0"/>
                <w:sz w:val="17"/>
              </w:rPr>
              <w:t>predictions</w:t>
            </w:r>
          </w:p>
        </w:tc>
        <w:tc>
          <w:tcPr>
            <w:tcW w:type="dxa" w:w="6768"/>
            <w:vAlign w:val="center"/>
            <w:shd w:fill="F7F9FB"/>
          </w:tcPr>
          <w:p>
            <w:r/>
            <w:r>
              <w:rPr>
                <w:b w:val="0"/>
                <w:sz w:val="17"/>
              </w:rPr>
              <w:t>Stock, as-of date, horizon, probability, threshold, model version</w:t>
            </w:r>
          </w:p>
        </w:tc>
      </w:tr>
      <w:tr>
        <w:tc>
          <w:tcPr>
            <w:tcW w:type="dxa" w:w="2880"/>
            <w:vAlign w:val="center"/>
          </w:tcPr>
          <w:p>
            <w:r/>
            <w:r>
              <w:rPr>
                <w:b w:val="0"/>
                <w:sz w:val="17"/>
              </w:rPr>
              <w:t>watchlists / watchlist_items</w:t>
            </w:r>
          </w:p>
        </w:tc>
        <w:tc>
          <w:tcPr>
            <w:tcW w:type="dxa" w:w="6768"/>
            <w:vAlign w:val="center"/>
          </w:tcPr>
          <w:p>
            <w:r/>
            <w:r>
              <w:rPr>
                <w:b w:val="0"/>
                <w:sz w:val="17"/>
              </w:rPr>
              <w:t>User-owned lists and referenced stocks</w:t>
            </w:r>
          </w:p>
        </w:tc>
      </w:tr>
      <w:tr>
        <w:tc>
          <w:tcPr>
            <w:tcW w:type="dxa" w:w="2880"/>
            <w:vAlign w:val="center"/>
            <w:shd w:fill="F7F9FB"/>
          </w:tcPr>
          <w:p>
            <w:r/>
            <w:r>
              <w:rPr>
                <w:b w:val="0"/>
                <w:sz w:val="17"/>
              </w:rPr>
              <w:t>backtest_results</w:t>
            </w:r>
          </w:p>
        </w:tc>
        <w:tc>
          <w:tcPr>
            <w:tcW w:type="dxa" w:w="6768"/>
            <w:vAlign w:val="center"/>
            <w:shd w:fill="F7F9FB"/>
          </w:tcPr>
          <w:p>
            <w:r/>
            <w:r>
              <w:rPr>
                <w:b w:val="0"/>
                <w:sz w:val="17"/>
              </w:rPr>
              <w:t>Model, evaluation period, costs and metrics</w:t>
            </w:r>
          </w:p>
        </w:tc>
      </w:tr>
      <w:tr>
        <w:tc>
          <w:tcPr>
            <w:tcW w:type="dxa" w:w="2880"/>
            <w:vAlign w:val="center"/>
          </w:tcPr>
          <w:p>
            <w:r/>
            <w:r>
              <w:rPr>
                <w:b w:val="0"/>
                <w:sz w:val="17"/>
              </w:rPr>
              <w:t>pipeline_runs</w:t>
            </w:r>
          </w:p>
        </w:tc>
        <w:tc>
          <w:tcPr>
            <w:tcW w:type="dxa" w:w="6768"/>
            <w:vAlign w:val="center"/>
          </w:tcPr>
          <w:p>
            <w:r/>
            <w:r>
              <w:rPr>
                <w:b w:val="0"/>
                <w:sz w:val="17"/>
              </w:rPr>
              <w:t>Job status, timestamps, counts and error summary</w:t>
            </w:r>
          </w:p>
        </w:tc>
      </w:tr>
    </w:tbl>
    <w:p/>
    <w:p>
      <w:pPr>
        <w:pStyle w:val="Heading1"/>
      </w:pPr>
      <w:r>
        <w:t>13. Authentication and privacy</w:t>
      </w:r>
    </w:p>
    <w:p>
      <w:pPr>
        <w:pStyle w:val="ListBullet"/>
      </w:pPr>
      <w:r>
        <w:t>Managed Google OIDC/OAuth sign-in; EquityLens never stores Google passwords.</w:t>
      </w:r>
    </w:p>
    <w:p>
      <w:pPr>
        <w:pStyle w:val="ListBullet"/>
      </w:pPr>
      <w:r>
        <w:t>Store only necessary identity and application data.</w:t>
      </w:r>
    </w:p>
    <w:p>
      <w:pPr>
        <w:pStyle w:val="ListBullet"/>
      </w:pPr>
      <w:r>
        <w:t>Enforce user ownership on every watchlist operation.</w:t>
      </w:r>
    </w:p>
    <w:p>
      <w:pPr>
        <w:pStyle w:val="ListBullet"/>
      </w:pPr>
      <w:r>
        <w:t>Keep client secrets and connection strings outside Git.</w:t>
      </w:r>
    </w:p>
    <w:p>
      <w:pPr>
        <w:pStyle w:val="ListBullet"/>
      </w:pPr>
      <w:r>
        <w:t>Provide a clear privacy statement before public release.</w:t>
      </w:r>
    </w:p>
    <w:p>
      <w:pPr>
        <w:pStyle w:val="ListBullet"/>
      </w:pPr>
      <w:r>
        <w:t>Treat authentication as portfolio MVP scope, not a prerequisite for the 14-day prototype.</w:t>
      </w:r>
    </w:p>
    <w:p>
      <w:pPr>
        <w:pStyle w:val="Heading1"/>
      </w:pPr>
      <w:r>
        <w:t>14. Scheduling and model lifecycle</w:t>
      </w:r>
    </w:p>
    <w:p>
      <w:pPr>
        <w:pStyle w:val="ListBullet"/>
      </w:pPr>
      <w:r>
        <w:t>After each ASX trading day: update required watchlist and demonstration tickers, validate data, calculate features, generate predictions and log status.</w:t>
      </w:r>
    </w:p>
    <w:p>
      <w:pPr>
        <w:pStyle w:val="ListBullet"/>
      </w:pPr>
      <w:r>
        <w:t>Monthly: retrain candidates over a rolling five-year window.</w:t>
      </w:r>
    </w:p>
    <w:p>
      <w:pPr>
        <w:pStyle w:val="ListBullet"/>
      </w:pPr>
      <w:r>
        <w:t>Promote a new model only when it passes quality checks, baselines and the fixed validation framework.</w:t>
      </w:r>
    </w:p>
    <w:p>
      <w:pPr>
        <w:pStyle w:val="ListBullet"/>
      </w:pPr>
      <w:r>
        <w:t>Retain the last valid model and prediction if a job fails.</w:t>
      </w:r>
    </w:p>
    <w:p>
      <w:pPr>
        <w:pStyle w:val="ListBullet"/>
      </w:pPr>
      <w:r>
        <w:t>Show generation timestamps and stale-data warnings.</w:t>
      </w:r>
    </w:p>
    <w:p>
      <w:pPr>
        <w:pStyle w:val="Heading1"/>
      </w:pPr>
      <w:r>
        <w:t>15. Testing strategy</w:t>
      </w:r>
    </w:p>
    <w:tbl>
      <w:tblPr>
        <w:tblStyle w:val="TableGrid"/>
        <w:tblW w:type="auto" w:w="0"/>
        <w:jc w:val="center"/>
        <w:tblLook w:firstColumn="1" w:firstRow="1" w:lastColumn="0" w:lastRow="0" w:noHBand="0" w:noVBand="1" w:val="04A0"/>
      </w:tblPr>
      <w:tblGrid>
        <w:gridCol w:w="4997"/>
        <w:gridCol w:w="4997"/>
      </w:tblGrid>
      <w:tr>
        <w:trPr>
          <w:tblHeader w:val="true"/>
          <w:tblHeader w:val="true"/>
        </w:trPr>
        <w:tc>
          <w:tcPr>
            <w:tcW w:type="dxa" w:w="1944"/>
            <w:vAlign w:val="center"/>
            <w:shd w:fill="1F4E78"/>
          </w:tcPr>
          <w:p>
            <w:r/>
            <w:r>
              <w:rPr>
                <w:b/>
                <w:color w:val="FFFFFF"/>
                <w:sz w:val="18"/>
              </w:rPr>
              <w:t>Test level</w:t>
            </w:r>
          </w:p>
        </w:tc>
        <w:tc>
          <w:tcPr>
            <w:tcW w:type="dxa" w:w="7704"/>
            <w:vAlign w:val="center"/>
            <w:shd w:fill="1F4E78"/>
          </w:tcPr>
          <w:p>
            <w:r/>
            <w:r>
              <w:rPr>
                <w:b/>
                <w:color w:val="FFFFFF"/>
                <w:sz w:val="18"/>
              </w:rPr>
              <w:t>Examples</w:t>
            </w:r>
          </w:p>
        </w:tc>
      </w:tr>
      <w:tr>
        <w:tc>
          <w:tcPr>
            <w:tcW w:type="dxa" w:w="1944"/>
            <w:vAlign w:val="center"/>
          </w:tcPr>
          <w:p>
            <w:r/>
            <w:r>
              <w:rPr>
                <w:b w:val="0"/>
                <w:sz w:val="17"/>
              </w:rPr>
              <w:t>Unit</w:t>
            </w:r>
          </w:p>
        </w:tc>
        <w:tc>
          <w:tcPr>
            <w:tcW w:type="dxa" w:w="7704"/>
            <w:vAlign w:val="center"/>
          </w:tcPr>
          <w:p>
            <w:r/>
            <w:r>
              <w:rPr>
                <w:b w:val="0"/>
                <w:sz w:val="17"/>
              </w:rPr>
              <w:t>Indicator formulas, targets, validation rules, outlook rules and metric calculations</w:t>
            </w:r>
          </w:p>
        </w:tc>
      </w:tr>
      <w:tr>
        <w:tc>
          <w:tcPr>
            <w:tcW w:type="dxa" w:w="1944"/>
            <w:vAlign w:val="center"/>
            <w:shd w:fill="F7F9FB"/>
          </w:tcPr>
          <w:p>
            <w:r/>
            <w:r>
              <w:rPr>
                <w:b w:val="0"/>
                <w:sz w:val="17"/>
              </w:rPr>
              <w:t>Integration</w:t>
            </w:r>
          </w:p>
        </w:tc>
        <w:tc>
          <w:tcPr>
            <w:tcW w:type="dxa" w:w="7704"/>
            <w:vAlign w:val="center"/>
            <w:shd w:fill="F7F9FB"/>
          </w:tcPr>
          <w:p>
            <w:r/>
            <w:r>
              <w:rPr>
                <w:b w:val="0"/>
                <w:sz w:val="17"/>
              </w:rPr>
              <w:t>Provider-to-storage flow, repository queries and end-to-end analysis service</w:t>
            </w:r>
          </w:p>
        </w:tc>
      </w:tr>
      <w:tr>
        <w:tc>
          <w:tcPr>
            <w:tcW w:type="dxa" w:w="1944"/>
            <w:vAlign w:val="center"/>
          </w:tcPr>
          <w:p>
            <w:r/>
            <w:r>
              <w:rPr>
                <w:b w:val="0"/>
                <w:sz w:val="17"/>
              </w:rPr>
              <w:t>Data quality</w:t>
            </w:r>
          </w:p>
        </w:tc>
        <w:tc>
          <w:tcPr>
            <w:tcW w:type="dxa" w:w="7704"/>
            <w:vAlign w:val="center"/>
          </w:tcPr>
          <w:p>
            <w:r/>
            <w:r>
              <w:rPr>
                <w:b w:val="0"/>
                <w:sz w:val="17"/>
              </w:rPr>
              <w:t>Duplicates, missing sessions, invalid OHLC relationships and insufficient history</w:t>
            </w:r>
          </w:p>
        </w:tc>
      </w:tr>
      <w:tr>
        <w:tc>
          <w:tcPr>
            <w:tcW w:type="dxa" w:w="1944"/>
            <w:vAlign w:val="center"/>
            <w:shd w:fill="F7F9FB"/>
          </w:tcPr>
          <w:p>
            <w:r/>
            <w:r>
              <w:rPr>
                <w:b w:val="0"/>
                <w:sz w:val="17"/>
              </w:rPr>
              <w:t>Model</w:t>
            </w:r>
          </w:p>
        </w:tc>
        <w:tc>
          <w:tcPr>
            <w:tcW w:type="dxa" w:w="7704"/>
            <w:vAlign w:val="center"/>
            <w:shd w:fill="F7F9FB"/>
          </w:tcPr>
          <w:p>
            <w:r/>
            <w:r>
              <w:rPr>
                <w:b w:val="0"/>
                <w:sz w:val="17"/>
              </w:rPr>
              <w:t>No leakage, reproducible splits, probability range and baseline comparison</w:t>
            </w:r>
          </w:p>
        </w:tc>
      </w:tr>
      <w:tr>
        <w:tc>
          <w:tcPr>
            <w:tcW w:type="dxa" w:w="1944"/>
            <w:vAlign w:val="center"/>
          </w:tcPr>
          <w:p>
            <w:r/>
            <w:r>
              <w:rPr>
                <w:b w:val="0"/>
                <w:sz w:val="17"/>
              </w:rPr>
              <w:t>UI</w:t>
            </w:r>
          </w:p>
        </w:tc>
        <w:tc>
          <w:tcPr>
            <w:tcW w:type="dxa" w:w="7704"/>
            <w:vAlign w:val="center"/>
          </w:tcPr>
          <w:p>
            <w:r/>
            <w:r>
              <w:rPr>
                <w:b w:val="0"/>
                <w:sz w:val="17"/>
              </w:rPr>
              <w:t>Valid/invalid ticker, provider failure, stale data and empty chart states</w:t>
            </w:r>
          </w:p>
        </w:tc>
      </w:tr>
      <w:tr>
        <w:tc>
          <w:tcPr>
            <w:tcW w:type="dxa" w:w="1944"/>
            <w:vAlign w:val="center"/>
            <w:shd w:fill="F7F9FB"/>
          </w:tcPr>
          <w:p>
            <w:r/>
            <w:r>
              <w:rPr>
                <w:b w:val="0"/>
                <w:sz w:val="17"/>
              </w:rPr>
              <w:t>Security</w:t>
            </w:r>
          </w:p>
        </w:tc>
        <w:tc>
          <w:tcPr>
            <w:tcW w:type="dxa" w:w="7704"/>
            <w:vAlign w:val="center"/>
            <w:shd w:fill="F7F9FB"/>
          </w:tcPr>
          <w:p>
            <w:r/>
            <w:r>
              <w:rPr>
                <w:b w:val="0"/>
                <w:sz w:val="17"/>
              </w:rPr>
              <w:t>Unauthenticated access, cross-user watchlist access and secret exposure</w:t>
            </w:r>
          </w:p>
        </w:tc>
      </w:tr>
    </w:tbl>
    <w:p/>
    <w:p>
      <w:pPr>
        <w:pStyle w:val="Heading1"/>
      </w:pPr>
      <w:r>
        <w:t>16. Risks, limitations and controls</w:t>
      </w:r>
    </w:p>
    <w:tbl>
      <w:tblPr>
        <w:tblStyle w:val="TableGrid"/>
        <w:tblW w:type="auto" w:w="0"/>
        <w:jc w:val="center"/>
        <w:tblLook w:firstColumn="1" w:firstRow="1" w:lastColumn="0" w:lastRow="0" w:noHBand="0" w:noVBand="1" w:val="04A0"/>
      </w:tblPr>
      <w:tblGrid>
        <w:gridCol w:w="4997"/>
        <w:gridCol w:w="4997"/>
      </w:tblGrid>
      <w:tr>
        <w:trPr>
          <w:tblHeader w:val="true"/>
          <w:tblHeader w:val="true"/>
        </w:trPr>
        <w:tc>
          <w:tcPr>
            <w:tcW w:type="dxa" w:w="2880"/>
            <w:vAlign w:val="center"/>
            <w:shd w:fill="1F4E78"/>
          </w:tcPr>
          <w:p>
            <w:r/>
            <w:r>
              <w:rPr>
                <w:b/>
                <w:color w:val="FFFFFF"/>
                <w:sz w:val="18"/>
              </w:rPr>
              <w:t>Risk</w:t>
            </w:r>
          </w:p>
        </w:tc>
        <w:tc>
          <w:tcPr>
            <w:tcW w:type="dxa" w:w="6768"/>
            <w:vAlign w:val="center"/>
            <w:shd w:fill="1F4E78"/>
          </w:tcPr>
          <w:p>
            <w:r/>
            <w:r>
              <w:rPr>
                <w:b/>
                <w:color w:val="FFFFFF"/>
                <w:sz w:val="18"/>
              </w:rPr>
              <w:t>Control</w:t>
            </w:r>
          </w:p>
        </w:tc>
      </w:tr>
      <w:tr>
        <w:tc>
          <w:tcPr>
            <w:tcW w:type="dxa" w:w="2880"/>
            <w:vAlign w:val="center"/>
          </w:tcPr>
          <w:p>
            <w:r/>
            <w:r>
              <w:rPr>
                <w:b w:val="0"/>
                <w:sz w:val="17"/>
              </w:rPr>
              <w:t>Look-ahead leakage</w:t>
            </w:r>
          </w:p>
        </w:tc>
        <w:tc>
          <w:tcPr>
            <w:tcW w:type="dxa" w:w="6768"/>
            <w:vAlign w:val="center"/>
          </w:tcPr>
          <w:p>
            <w:r/>
            <w:r>
              <w:rPr>
                <w:b w:val="0"/>
                <w:sz w:val="17"/>
              </w:rPr>
              <w:t>Time-aware feature creation, fold-local preprocessing and review of timestamps.</w:t>
            </w:r>
          </w:p>
        </w:tc>
      </w:tr>
      <w:tr>
        <w:tc>
          <w:tcPr>
            <w:tcW w:type="dxa" w:w="2880"/>
            <w:vAlign w:val="center"/>
            <w:shd w:fill="F7F9FB"/>
          </w:tcPr>
          <w:p>
            <w:r/>
            <w:r>
              <w:rPr>
                <w:b w:val="0"/>
                <w:sz w:val="17"/>
              </w:rPr>
              <w:t>Overfitting</w:t>
            </w:r>
          </w:p>
        </w:tc>
        <w:tc>
          <w:tcPr>
            <w:tcW w:type="dxa" w:w="6768"/>
            <w:vAlign w:val="center"/>
            <w:shd w:fill="F7F9FB"/>
          </w:tcPr>
          <w:p>
            <w:r/>
            <w:r>
              <w:rPr>
                <w:b w:val="0"/>
                <w:sz w:val="17"/>
              </w:rPr>
              <w:t>Simple baselines, walk-forward validation, fixed selection rules and final holdout.</w:t>
            </w:r>
          </w:p>
        </w:tc>
      </w:tr>
      <w:tr>
        <w:tc>
          <w:tcPr>
            <w:tcW w:type="dxa" w:w="2880"/>
            <w:vAlign w:val="center"/>
          </w:tcPr>
          <w:p>
            <w:r/>
            <w:r>
              <w:rPr>
                <w:b w:val="0"/>
                <w:sz w:val="17"/>
              </w:rPr>
              <w:t>Survivorship bias</w:t>
            </w:r>
          </w:p>
        </w:tc>
        <w:tc>
          <w:tcPr>
            <w:tcW w:type="dxa" w:w="6768"/>
            <w:vAlign w:val="center"/>
          </w:tcPr>
          <w:p>
            <w:r/>
            <w:r>
              <w:rPr>
                <w:b w:val="0"/>
                <w:sz w:val="17"/>
              </w:rPr>
              <w:t>Version current ASX 100 list and disclose limitation; research historical constituents later.</w:t>
            </w:r>
          </w:p>
        </w:tc>
      </w:tr>
      <w:tr>
        <w:tc>
          <w:tcPr>
            <w:tcW w:type="dxa" w:w="2880"/>
            <w:vAlign w:val="center"/>
            <w:shd w:fill="F7F9FB"/>
          </w:tcPr>
          <w:p>
            <w:r/>
            <w:r>
              <w:rPr>
                <w:b w:val="0"/>
                <w:sz w:val="17"/>
              </w:rPr>
              <w:t>Free data limitations</w:t>
            </w:r>
          </w:p>
        </w:tc>
        <w:tc>
          <w:tcPr>
            <w:tcW w:type="dxa" w:w="6768"/>
            <w:vAlign w:val="center"/>
            <w:shd w:fill="F7F9FB"/>
          </w:tcPr>
          <w:p>
            <w:r/>
            <w:r>
              <w:rPr>
                <w:b w:val="0"/>
                <w:sz w:val="17"/>
              </w:rPr>
              <w:t>Validate official terms, cache responsibly and isolate provider adapter.</w:t>
            </w:r>
          </w:p>
        </w:tc>
      </w:tr>
      <w:tr>
        <w:tc>
          <w:tcPr>
            <w:tcW w:type="dxa" w:w="2880"/>
            <w:vAlign w:val="center"/>
          </w:tcPr>
          <w:p>
            <w:r/>
            <w:r>
              <w:rPr>
                <w:b w:val="0"/>
                <w:sz w:val="17"/>
              </w:rPr>
              <w:t>Misleading confidence</w:t>
            </w:r>
          </w:p>
        </w:tc>
        <w:tc>
          <w:tcPr>
            <w:tcW w:type="dxa" w:w="6768"/>
            <w:vAlign w:val="center"/>
          </w:tcPr>
          <w:p>
            <w:r/>
            <w:r>
              <w:rPr>
                <w:b w:val="0"/>
                <w:sz w:val="17"/>
              </w:rPr>
              <w:t>Calibration checks, performance summary, cautious wording and no guaranteed claims.</w:t>
            </w:r>
          </w:p>
        </w:tc>
      </w:tr>
      <w:tr>
        <w:tc>
          <w:tcPr>
            <w:tcW w:type="dxa" w:w="2880"/>
            <w:vAlign w:val="center"/>
            <w:shd w:fill="F7F9FB"/>
          </w:tcPr>
          <w:p>
            <w:r/>
            <w:r>
              <w:rPr>
                <w:b w:val="0"/>
                <w:sz w:val="17"/>
              </w:rPr>
              <w:t>Transaction-cost omission</w:t>
            </w:r>
          </w:p>
        </w:tc>
        <w:tc>
          <w:tcPr>
            <w:tcW w:type="dxa" w:w="6768"/>
            <w:vAlign w:val="center"/>
            <w:shd w:fill="F7F9FB"/>
          </w:tcPr>
          <w:p>
            <w:r/>
            <w:r>
              <w:rPr>
                <w:b w:val="0"/>
                <w:sz w:val="17"/>
              </w:rPr>
              <w:t>Include explicit estimated costs in economic backtesting.</w:t>
            </w:r>
          </w:p>
        </w:tc>
      </w:tr>
      <w:tr>
        <w:tc>
          <w:tcPr>
            <w:tcW w:type="dxa" w:w="2880"/>
            <w:vAlign w:val="center"/>
          </w:tcPr>
          <w:p>
            <w:r/>
            <w:r>
              <w:rPr>
                <w:b w:val="0"/>
                <w:sz w:val="17"/>
              </w:rPr>
              <w:t>Scope failure</w:t>
            </w:r>
          </w:p>
        </w:tc>
        <w:tc>
          <w:tcPr>
            <w:tcW w:type="dxa" w:w="6768"/>
            <w:vAlign w:val="center"/>
          </w:tcPr>
          <w:p>
            <w:r/>
            <w:r>
              <w:rPr>
                <w:b w:val="0"/>
                <w:sz w:val="17"/>
              </w:rPr>
              <w:t>Protect the 14-day prototype boundary and defer accounts/Azure/extra horizons.</w:t>
            </w:r>
          </w:p>
        </w:tc>
      </w:tr>
      <w:tr>
        <w:tc>
          <w:tcPr>
            <w:tcW w:type="dxa" w:w="2880"/>
            <w:vAlign w:val="center"/>
            <w:shd w:fill="F7F9FB"/>
          </w:tcPr>
          <w:p>
            <w:r/>
            <w:r>
              <w:rPr>
                <w:b w:val="0"/>
                <w:sz w:val="17"/>
              </w:rPr>
              <w:t>AI-generated code dependence</w:t>
            </w:r>
          </w:p>
        </w:tc>
        <w:tc>
          <w:tcPr>
            <w:tcW w:type="dxa" w:w="6768"/>
            <w:vAlign w:val="center"/>
            <w:shd w:fill="F7F9FB"/>
          </w:tcPr>
          <w:p>
            <w:r/>
            <w:r>
              <w:rPr>
                <w:b w:val="0"/>
                <w:sz w:val="17"/>
              </w:rPr>
              <w:t>Manually type, test, explain and commit each component.</w:t>
            </w:r>
          </w:p>
        </w:tc>
      </w:tr>
    </w:tbl>
    <w:p/>
    <w:p>
      <w:pPr>
        <w:pStyle w:val="Heading1"/>
      </w:pPr>
      <w:r>
        <w:t>17. Definition of done</w:t>
      </w:r>
    </w:p>
    <w:p>
      <w:pPr>
        <w:pStyle w:val="Heading2"/>
      </w:pPr>
      <w:r>
        <w:t>17.1 Two-week prototype</w:t>
      </w:r>
    </w:p>
    <w:p>
      <w:pPr>
        <w:pStyle w:val="ListBullet"/>
      </w:pPr>
      <w:r>
        <w:t>A public Streamlit URL is accessible.</w:t>
      </w:r>
    </w:p>
    <w:p>
      <w:pPr>
        <w:pStyle w:val="ListBullet"/>
      </w:pPr>
      <w:r>
        <w:t>DRO.AX plus nine diversified large ASX stocks work end to end.</w:t>
      </w:r>
    </w:p>
    <w:p>
      <w:pPr>
        <w:pStyle w:val="ListBullet"/>
      </w:pPr>
      <w:r>
        <w:t>Five years of daily data are processed with clear validation.</w:t>
      </w:r>
    </w:p>
    <w:p>
      <w:pPr>
        <w:pStyle w:val="ListBullet"/>
      </w:pPr>
      <w:r>
        <w:t>Price/volume and selected indicator charts render correctly.</w:t>
      </w:r>
    </w:p>
    <w:p>
      <w:pPr>
        <w:pStyle w:val="ListBullet"/>
      </w:pPr>
      <w:r>
        <w:t>A one-day probability and separate technical outlook are displayed.</w:t>
      </w:r>
    </w:p>
    <w:p>
      <w:pPr>
        <w:pStyle w:val="ListBullet"/>
      </w:pPr>
      <w:r>
        <w:t>Chronological evaluation and baselines exist in the project artefacts.</w:t>
      </w:r>
    </w:p>
    <w:p>
      <w:pPr>
        <w:pStyle w:val="ListBullet"/>
      </w:pPr>
      <w:r>
        <w:t>Invalid input and provider errors do not crash the dashboard.</w:t>
      </w:r>
    </w:p>
    <w:p>
      <w:pPr>
        <w:pStyle w:val="ListBullet"/>
      </w:pPr>
      <w:r>
        <w:t>README explains setup, architecture, limitations and results.</w:t>
      </w:r>
    </w:p>
    <w:p>
      <w:pPr>
        <w:pStyle w:val="ListBullet"/>
      </w:pPr>
      <w:r>
        <w:t>Shiv can explain and modify every major component.</w:t>
      </w:r>
    </w:p>
    <w:p>
      <w:pPr>
        <w:pStyle w:val="Heading2"/>
      </w:pPr>
      <w:r>
        <w:t>17.2 Portfolio MVP</w:t>
      </w:r>
    </w:p>
    <w:p>
      <w:pPr>
        <w:pStyle w:val="ListBullet"/>
      </w:pPr>
      <w:r>
        <w:t>ASX 100 shared training dataset and reproducible pipeline.</w:t>
      </w:r>
    </w:p>
    <w:p>
      <w:pPr>
        <w:pStyle w:val="ListBullet"/>
      </w:pPr>
      <w:r>
        <w:t>Three horizons and automatic best-model selection.</w:t>
      </w:r>
    </w:p>
    <w:p>
      <w:pPr>
        <w:pStyle w:val="ListBullet"/>
      </w:pPr>
      <w:r>
        <w:t>SQL Server storage, Google authentication and private watchlists.</w:t>
      </w:r>
    </w:p>
    <w:p>
      <w:pPr>
        <w:pStyle w:val="ListBullet"/>
      </w:pPr>
      <w:r>
        <w:t>Trading-day updates and monthly retraining.</w:t>
      </w:r>
    </w:p>
    <w:p>
      <w:pPr>
        <w:pStyle w:val="ListBullet"/>
      </w:pPr>
      <w:r>
        <w:t>Detailed evaluation, tests and model/version records.</w:t>
      </w:r>
    </w:p>
    <w:p>
      <w:pPr>
        <w:pStyle w:val="Heading1"/>
      </w:pPr>
      <w:r>
        <w:t>18. Decision register</w:t>
      </w:r>
    </w:p>
    <w:tbl>
      <w:tblPr>
        <w:tblStyle w:val="TableGrid"/>
        <w:tblW w:type="auto" w:w="0"/>
        <w:jc w:val="center"/>
        <w:tblLook w:firstColumn="1" w:firstRow="1" w:lastColumn="0" w:lastRow="0" w:noHBand="0" w:noVBand="1" w:val="04A0"/>
      </w:tblPr>
      <w:tblGrid>
        <w:gridCol w:w="4997"/>
        <w:gridCol w:w="4997"/>
      </w:tblGrid>
      <w:tr>
        <w:trPr>
          <w:tblHeader w:val="true"/>
          <w:tblHeader w:val="true"/>
        </w:trPr>
        <w:tc>
          <w:tcPr>
            <w:tcW w:type="dxa" w:w="2880"/>
            <w:vAlign w:val="center"/>
            <w:shd w:fill="1F4E78"/>
          </w:tcPr>
          <w:p>
            <w:r/>
            <w:r>
              <w:rPr>
                <w:b/>
                <w:color w:val="FFFFFF"/>
                <w:sz w:val="18"/>
              </w:rPr>
              <w:t>Decision</w:t>
            </w:r>
          </w:p>
        </w:tc>
        <w:tc>
          <w:tcPr>
            <w:tcW w:type="dxa" w:w="6768"/>
            <w:vAlign w:val="center"/>
            <w:shd w:fill="1F4E78"/>
          </w:tcPr>
          <w:p>
            <w:r/>
            <w:r>
              <w:rPr>
                <w:b/>
                <w:color w:val="FFFFFF"/>
                <w:sz w:val="18"/>
              </w:rPr>
              <w:t>Selected direction</w:t>
            </w:r>
          </w:p>
        </w:tc>
      </w:tr>
      <w:tr>
        <w:tc>
          <w:tcPr>
            <w:tcW w:type="dxa" w:w="2880"/>
            <w:vAlign w:val="center"/>
          </w:tcPr>
          <w:p>
            <w:r/>
            <w:r>
              <w:rPr>
                <w:b w:val="0"/>
                <w:sz w:val="17"/>
              </w:rPr>
              <w:t>Name</w:t>
            </w:r>
          </w:p>
        </w:tc>
        <w:tc>
          <w:tcPr>
            <w:tcW w:type="dxa" w:w="6768"/>
            <w:vAlign w:val="center"/>
          </w:tcPr>
          <w:p>
            <w:r/>
            <w:r>
              <w:rPr>
                <w:b w:val="0"/>
                <w:sz w:val="17"/>
              </w:rPr>
              <w:t>EquityLens</w:t>
            </w:r>
          </w:p>
        </w:tc>
      </w:tr>
      <w:tr>
        <w:tc>
          <w:tcPr>
            <w:tcW w:type="dxa" w:w="2880"/>
            <w:vAlign w:val="center"/>
            <w:shd w:fill="F7F9FB"/>
          </w:tcPr>
          <w:p>
            <w:r/>
            <w:r>
              <w:rPr>
                <w:b w:val="0"/>
                <w:sz w:val="17"/>
              </w:rPr>
              <w:t>Market</w:t>
            </w:r>
          </w:p>
        </w:tc>
        <w:tc>
          <w:tcPr>
            <w:tcW w:type="dxa" w:w="6768"/>
            <w:vAlign w:val="center"/>
            <w:shd w:fill="F7F9FB"/>
          </w:tcPr>
          <w:p>
            <w:r/>
            <w:r>
              <w:rPr>
                <w:b w:val="0"/>
                <w:sz w:val="17"/>
              </w:rPr>
              <w:t>ASX only initially</w:t>
            </w:r>
          </w:p>
        </w:tc>
      </w:tr>
      <w:tr>
        <w:tc>
          <w:tcPr>
            <w:tcW w:type="dxa" w:w="2880"/>
            <w:vAlign w:val="center"/>
          </w:tcPr>
          <w:p>
            <w:r/>
            <w:r>
              <w:rPr>
                <w:b w:val="0"/>
                <w:sz w:val="17"/>
              </w:rPr>
              <w:t>Audience</w:t>
            </w:r>
          </w:p>
        </w:tc>
        <w:tc>
          <w:tcPr>
            <w:tcW w:type="dxa" w:w="6768"/>
            <w:vAlign w:val="center"/>
          </w:tcPr>
          <w:p>
            <w:r/>
            <w:r>
              <w:rPr>
                <w:b w:val="0"/>
                <w:sz w:val="17"/>
              </w:rPr>
              <w:t>General users researching ASX stocks</w:t>
            </w:r>
          </w:p>
        </w:tc>
      </w:tr>
      <w:tr>
        <w:tc>
          <w:tcPr>
            <w:tcW w:type="dxa" w:w="2880"/>
            <w:vAlign w:val="center"/>
            <w:shd w:fill="F7F9FB"/>
          </w:tcPr>
          <w:p>
            <w:r/>
            <w:r>
              <w:rPr>
                <w:b w:val="0"/>
                <w:sz w:val="17"/>
              </w:rPr>
              <w:t>Frequency</w:t>
            </w:r>
          </w:p>
        </w:tc>
        <w:tc>
          <w:tcPr>
            <w:tcW w:type="dxa" w:w="6768"/>
            <w:vAlign w:val="center"/>
            <w:shd w:fill="F7F9FB"/>
          </w:tcPr>
          <w:p>
            <w:r/>
            <w:r>
              <w:rPr>
                <w:b w:val="0"/>
                <w:sz w:val="17"/>
              </w:rPr>
              <w:t>Daily after market close</w:t>
            </w:r>
          </w:p>
        </w:tc>
      </w:tr>
      <w:tr>
        <w:tc>
          <w:tcPr>
            <w:tcW w:type="dxa" w:w="2880"/>
            <w:vAlign w:val="center"/>
          </w:tcPr>
          <w:p>
            <w:r/>
            <w:r>
              <w:rPr>
                <w:b w:val="0"/>
                <w:sz w:val="17"/>
              </w:rPr>
              <w:t>Horizons</w:t>
            </w:r>
          </w:p>
        </w:tc>
        <w:tc>
          <w:tcPr>
            <w:tcW w:type="dxa" w:w="6768"/>
            <w:vAlign w:val="center"/>
          </w:tcPr>
          <w:p>
            <w:r/>
            <w:r>
              <w:rPr>
                <w:b w:val="0"/>
                <w:sz w:val="17"/>
              </w:rPr>
              <w:t>1, 5 and 21 trading sessions; 1 first</w:t>
            </w:r>
          </w:p>
        </w:tc>
      </w:tr>
      <w:tr>
        <w:tc>
          <w:tcPr>
            <w:tcW w:type="dxa" w:w="2880"/>
            <w:vAlign w:val="center"/>
            <w:shd w:fill="F7F9FB"/>
          </w:tcPr>
          <w:p>
            <w:r/>
            <w:r>
              <w:rPr>
                <w:b w:val="0"/>
                <w:sz w:val="17"/>
              </w:rPr>
              <w:t>Output</w:t>
            </w:r>
          </w:p>
        </w:tc>
        <w:tc>
          <w:tcPr>
            <w:tcW w:type="dxa" w:w="6768"/>
            <w:vAlign w:val="center"/>
            <w:shd w:fill="F7F9FB"/>
          </w:tcPr>
          <w:p>
            <w:r/>
            <w:r>
              <w:rPr>
                <w:b w:val="0"/>
                <w:sz w:val="17"/>
              </w:rPr>
              <w:t>Probability of meaningful rise + separate technical outlook</w:t>
            </w:r>
          </w:p>
        </w:tc>
      </w:tr>
      <w:tr>
        <w:tc>
          <w:tcPr>
            <w:tcW w:type="dxa" w:w="2880"/>
            <w:vAlign w:val="center"/>
          </w:tcPr>
          <w:p>
            <w:r/>
            <w:r>
              <w:rPr>
                <w:b w:val="0"/>
                <w:sz w:val="17"/>
              </w:rPr>
              <w:t>Target</w:t>
            </w:r>
          </w:p>
        </w:tc>
        <w:tc>
          <w:tcPr>
            <w:tcW w:type="dxa" w:w="6768"/>
            <w:vAlign w:val="center"/>
          </w:tcPr>
          <w:p>
            <w:r/>
            <w:r>
              <w:rPr>
                <w:b w:val="0"/>
                <w:sz w:val="17"/>
              </w:rPr>
              <w:t>Volatility-adjusted, horizon-specific threshold</w:t>
            </w:r>
          </w:p>
        </w:tc>
      </w:tr>
      <w:tr>
        <w:tc>
          <w:tcPr>
            <w:tcW w:type="dxa" w:w="2880"/>
            <w:vAlign w:val="center"/>
            <w:shd w:fill="F7F9FB"/>
          </w:tcPr>
          <w:p>
            <w:r/>
            <w:r>
              <w:rPr>
                <w:b w:val="0"/>
                <w:sz w:val="17"/>
              </w:rPr>
              <w:t>Inputs</w:t>
            </w:r>
          </w:p>
        </w:tc>
        <w:tc>
          <w:tcPr>
            <w:tcW w:type="dxa" w:w="6768"/>
            <w:vAlign w:val="center"/>
            <w:shd w:fill="F7F9FB"/>
          </w:tcPr>
          <w:p>
            <w:r/>
            <w:r>
              <w:rPr>
                <w:b w:val="0"/>
                <w:sz w:val="17"/>
              </w:rPr>
              <w:t>Price, volume and technical indicators only</w:t>
            </w:r>
          </w:p>
        </w:tc>
      </w:tr>
      <w:tr>
        <w:tc>
          <w:tcPr>
            <w:tcW w:type="dxa" w:w="2880"/>
            <w:vAlign w:val="center"/>
          </w:tcPr>
          <w:p>
            <w:r/>
            <w:r>
              <w:rPr>
                <w:b w:val="0"/>
                <w:sz w:val="17"/>
              </w:rPr>
              <w:t>Indicators</w:t>
            </w:r>
          </w:p>
        </w:tc>
        <w:tc>
          <w:tcPr>
            <w:tcW w:type="dxa" w:w="6768"/>
            <w:vAlign w:val="center"/>
          </w:tcPr>
          <w:p>
            <w:r/>
            <w:r>
              <w:rPr>
                <w:b w:val="0"/>
                <w:sz w:val="17"/>
              </w:rPr>
              <w:t>Trend, momentum, volatility and volume families</w:t>
            </w:r>
          </w:p>
        </w:tc>
      </w:tr>
      <w:tr>
        <w:tc>
          <w:tcPr>
            <w:tcW w:type="dxa" w:w="2880"/>
            <w:vAlign w:val="center"/>
            <w:shd w:fill="F7F9FB"/>
          </w:tcPr>
          <w:p>
            <w:r/>
            <w:r>
              <w:rPr>
                <w:b w:val="0"/>
                <w:sz w:val="17"/>
              </w:rPr>
              <w:t>Model scope</w:t>
            </w:r>
          </w:p>
        </w:tc>
        <w:tc>
          <w:tcPr>
            <w:tcW w:type="dxa" w:w="6768"/>
            <w:vAlign w:val="center"/>
            <w:shd w:fill="F7F9FB"/>
          </w:tcPr>
          <w:p>
            <w:r/>
            <w:r>
              <w:rPr>
                <w:b w:val="0"/>
                <w:sz w:val="17"/>
              </w:rPr>
              <w:t>One shared model across stocks</w:t>
            </w:r>
          </w:p>
        </w:tc>
      </w:tr>
      <w:tr>
        <w:tc>
          <w:tcPr>
            <w:tcW w:type="dxa" w:w="2880"/>
            <w:vAlign w:val="center"/>
          </w:tcPr>
          <w:p>
            <w:r/>
            <w:r>
              <w:rPr>
                <w:b w:val="0"/>
                <w:sz w:val="17"/>
              </w:rPr>
              <w:t>Training universe</w:t>
            </w:r>
          </w:p>
        </w:tc>
        <w:tc>
          <w:tcPr>
            <w:tcW w:type="dxa" w:w="6768"/>
            <w:vAlign w:val="center"/>
          </w:tcPr>
          <w:p>
            <w:r/>
            <w:r>
              <w:rPr>
                <w:b w:val="0"/>
                <w:sz w:val="17"/>
              </w:rPr>
              <w:t>ASX 100</w:t>
            </w:r>
          </w:p>
        </w:tc>
      </w:tr>
      <w:tr>
        <w:tc>
          <w:tcPr>
            <w:tcW w:type="dxa" w:w="2880"/>
            <w:vAlign w:val="center"/>
            <w:shd w:fill="F7F9FB"/>
          </w:tcPr>
          <w:p>
            <w:r/>
            <w:r>
              <w:rPr>
                <w:b w:val="0"/>
                <w:sz w:val="17"/>
              </w:rPr>
              <w:t>History</w:t>
            </w:r>
          </w:p>
        </w:tc>
        <w:tc>
          <w:tcPr>
            <w:tcW w:type="dxa" w:w="6768"/>
            <w:vAlign w:val="center"/>
            <w:shd w:fill="F7F9FB"/>
          </w:tcPr>
          <w:p>
            <w:r/>
            <w:r>
              <w:rPr>
                <w:b w:val="0"/>
                <w:sz w:val="17"/>
              </w:rPr>
              <w:t>Most recent five years</w:t>
            </w:r>
          </w:p>
        </w:tc>
      </w:tr>
      <w:tr>
        <w:tc>
          <w:tcPr>
            <w:tcW w:type="dxa" w:w="2880"/>
            <w:vAlign w:val="center"/>
          </w:tcPr>
          <w:p>
            <w:r/>
            <w:r>
              <w:rPr>
                <w:b w:val="0"/>
                <w:sz w:val="17"/>
              </w:rPr>
              <w:t>Selection</w:t>
            </w:r>
          </w:p>
        </w:tc>
        <w:tc>
          <w:tcPr>
            <w:tcW w:type="dxa" w:w="6768"/>
            <w:vAlign w:val="center"/>
          </w:tcPr>
          <w:p>
            <w:r/>
            <w:r>
              <w:rPr>
                <w:b w:val="0"/>
                <w:sz w:val="17"/>
              </w:rPr>
              <w:t>Balanced statistical and backtesting framework</w:t>
            </w:r>
          </w:p>
        </w:tc>
      </w:tr>
      <w:tr>
        <w:tc>
          <w:tcPr>
            <w:tcW w:type="dxa" w:w="2880"/>
            <w:vAlign w:val="center"/>
            <w:shd w:fill="F7F9FB"/>
          </w:tcPr>
          <w:p>
            <w:r/>
            <w:r>
              <w:rPr>
                <w:b w:val="0"/>
                <w:sz w:val="17"/>
              </w:rPr>
              <w:t>UI roadmap</w:t>
            </w:r>
          </w:p>
        </w:tc>
        <w:tc>
          <w:tcPr>
            <w:tcW w:type="dxa" w:w="6768"/>
            <w:vAlign w:val="center"/>
            <w:shd w:fill="F7F9FB"/>
          </w:tcPr>
          <w:p>
            <w:r/>
            <w:r>
              <w:rPr>
                <w:b w:val="0"/>
                <w:sz w:val="17"/>
              </w:rPr>
              <w:t>Streamlit, then FastAPI + React</w:t>
            </w:r>
          </w:p>
        </w:tc>
      </w:tr>
      <w:tr>
        <w:tc>
          <w:tcPr>
            <w:tcW w:type="dxa" w:w="2880"/>
            <w:vAlign w:val="center"/>
          </w:tcPr>
          <w:p>
            <w:r/>
            <w:r>
              <w:rPr>
                <w:b w:val="0"/>
                <w:sz w:val="17"/>
              </w:rPr>
              <w:t>Data platform</w:t>
            </w:r>
          </w:p>
        </w:tc>
        <w:tc>
          <w:tcPr>
            <w:tcW w:type="dxa" w:w="6768"/>
            <w:vAlign w:val="center"/>
          </w:tcPr>
          <w:p>
            <w:r/>
            <w:r>
              <w:rPr>
                <w:b w:val="0"/>
                <w:sz w:val="17"/>
              </w:rPr>
              <w:t>SQL Server, then Azure SQL</w:t>
            </w:r>
          </w:p>
        </w:tc>
      </w:tr>
      <w:tr>
        <w:tc>
          <w:tcPr>
            <w:tcW w:type="dxa" w:w="2880"/>
            <w:vAlign w:val="center"/>
            <w:shd w:fill="F7F9FB"/>
          </w:tcPr>
          <w:p>
            <w:r/>
            <w:r>
              <w:rPr>
                <w:b w:val="0"/>
                <w:sz w:val="17"/>
              </w:rPr>
              <w:t>Authentication</w:t>
            </w:r>
          </w:p>
        </w:tc>
        <w:tc>
          <w:tcPr>
            <w:tcW w:type="dxa" w:w="6768"/>
            <w:vAlign w:val="center"/>
            <w:shd w:fill="F7F9FB"/>
          </w:tcPr>
          <w:p>
            <w:r/>
            <w:r>
              <w:rPr>
                <w:b w:val="0"/>
                <w:sz w:val="17"/>
              </w:rPr>
              <w:t>Managed Google sign-in</w:t>
            </w:r>
          </w:p>
        </w:tc>
      </w:tr>
      <w:tr>
        <w:tc>
          <w:tcPr>
            <w:tcW w:type="dxa" w:w="2880"/>
            <w:vAlign w:val="center"/>
          </w:tcPr>
          <w:p>
            <w:r/>
            <w:r>
              <w:rPr>
                <w:b w:val="0"/>
                <w:sz w:val="17"/>
              </w:rPr>
              <w:t>Hosting</w:t>
            </w:r>
          </w:p>
        </w:tc>
        <w:tc>
          <w:tcPr>
            <w:tcW w:type="dxa" w:w="6768"/>
            <w:vAlign w:val="center"/>
          </w:tcPr>
          <w:p>
            <w:r/>
            <w:r>
              <w:rPr>
                <w:b w:val="0"/>
                <w:sz w:val="17"/>
              </w:rPr>
              <w:t>Free Streamlit first, then Azure</w:t>
            </w:r>
          </w:p>
        </w:tc>
      </w:tr>
      <w:tr>
        <w:tc>
          <w:tcPr>
            <w:tcW w:type="dxa" w:w="2880"/>
            <w:vAlign w:val="center"/>
            <w:shd w:fill="F7F9FB"/>
          </w:tcPr>
          <w:p>
            <w:r/>
            <w:r>
              <w:rPr>
                <w:b w:val="0"/>
                <w:sz w:val="17"/>
              </w:rPr>
              <w:t>Updates</w:t>
            </w:r>
          </w:p>
        </w:tc>
        <w:tc>
          <w:tcPr>
            <w:tcW w:type="dxa" w:w="6768"/>
            <w:vAlign w:val="center"/>
            <w:shd w:fill="F7F9FB"/>
          </w:tcPr>
          <w:p>
            <w:r/>
            <w:r>
              <w:rPr>
                <w:b w:val="0"/>
                <w:sz w:val="17"/>
              </w:rPr>
              <w:t>Each ASX trading day</w:t>
            </w:r>
          </w:p>
        </w:tc>
      </w:tr>
      <w:tr>
        <w:tc>
          <w:tcPr>
            <w:tcW w:type="dxa" w:w="2880"/>
            <w:vAlign w:val="center"/>
          </w:tcPr>
          <w:p>
            <w:r/>
            <w:r>
              <w:rPr>
                <w:b w:val="0"/>
                <w:sz w:val="17"/>
              </w:rPr>
              <w:t>Retraining</w:t>
            </w:r>
          </w:p>
        </w:tc>
        <w:tc>
          <w:tcPr>
            <w:tcW w:type="dxa" w:w="6768"/>
            <w:vAlign w:val="center"/>
          </w:tcPr>
          <w:p>
            <w:r/>
            <w:r>
              <w:rPr>
                <w:b w:val="0"/>
                <w:sz w:val="17"/>
              </w:rPr>
              <w:t>Monthly</w:t>
            </w:r>
          </w:p>
        </w:tc>
      </w:tr>
      <w:tr>
        <w:tc>
          <w:tcPr>
            <w:tcW w:type="dxa" w:w="2880"/>
            <w:vAlign w:val="center"/>
            <w:shd w:fill="F7F9FB"/>
          </w:tcPr>
          <w:p>
            <w:r/>
            <w:r>
              <w:rPr>
                <w:b w:val="0"/>
                <w:sz w:val="17"/>
              </w:rPr>
              <w:t>Deadline</w:t>
            </w:r>
          </w:p>
        </w:tc>
        <w:tc>
          <w:tcPr>
            <w:tcW w:type="dxa" w:w="6768"/>
            <w:vAlign w:val="center"/>
            <w:shd w:fill="F7F9FB"/>
          </w:tcPr>
          <w:p>
            <w:r/>
            <w:r>
              <w:rPr>
                <w:b w:val="0"/>
                <w:sz w:val="17"/>
              </w:rPr>
              <w:t>14-day narrow prototype at ~1 hour/day</w:t>
            </w:r>
          </w:p>
        </w:tc>
      </w:tr>
      <w:tr>
        <w:tc>
          <w:tcPr>
            <w:tcW w:type="dxa" w:w="2880"/>
            <w:vAlign w:val="center"/>
          </w:tcPr>
          <w:p>
            <w:r/>
            <w:r>
              <w:rPr>
                <w:b w:val="0"/>
                <w:sz w:val="17"/>
              </w:rPr>
              <w:t>Prototype proof</w:t>
            </w:r>
          </w:p>
        </w:tc>
        <w:tc>
          <w:tcPr>
            <w:tcW w:type="dxa" w:w="6768"/>
            <w:vAlign w:val="center"/>
          </w:tcPr>
          <w:p>
            <w:r/>
            <w:r>
              <w:rPr>
                <w:b w:val="0"/>
                <w:sz w:val="17"/>
              </w:rPr>
              <w:t>Deployed dashboard analysing at least 10 tickers</w:t>
            </w:r>
          </w:p>
        </w:tc>
      </w:tr>
      <w:tr>
        <w:tc>
          <w:tcPr>
            <w:tcW w:type="dxa" w:w="2880"/>
            <w:vAlign w:val="center"/>
            <w:shd w:fill="F7F9FB"/>
          </w:tcPr>
          <w:p>
            <w:r/>
            <w:r>
              <w:rPr>
                <w:b w:val="0"/>
                <w:sz w:val="17"/>
              </w:rPr>
              <w:t>Demo set</w:t>
            </w:r>
          </w:p>
        </w:tc>
        <w:tc>
          <w:tcPr>
            <w:tcW w:type="dxa" w:w="6768"/>
            <w:vAlign w:val="center"/>
            <w:shd w:fill="F7F9FB"/>
          </w:tcPr>
          <w:p>
            <w:r/>
            <w:r>
              <w:rPr>
                <w:b w:val="0"/>
                <w:sz w:val="17"/>
              </w:rPr>
              <w:t>DRO plus nine diversified large ASX companies</w:t>
            </w:r>
          </w:p>
        </w:tc>
      </w:tr>
      <w:tr>
        <w:tc>
          <w:tcPr>
            <w:tcW w:type="dxa" w:w="2880"/>
            <w:vAlign w:val="center"/>
          </w:tcPr>
          <w:p>
            <w:r/>
            <w:r>
              <w:rPr>
                <w:b w:val="0"/>
                <w:sz w:val="17"/>
              </w:rPr>
              <w:t>Learning policy</w:t>
            </w:r>
          </w:p>
        </w:tc>
        <w:tc>
          <w:tcPr>
            <w:tcW w:type="dxa" w:w="6768"/>
            <w:vAlign w:val="center"/>
          </w:tcPr>
          <w:p>
            <w:r/>
            <w:r>
              <w:rPr>
                <w:b w:val="0"/>
                <w:sz w:val="17"/>
              </w:rPr>
              <w:t>AI drafts; Shiv manually types, tests and understands</w:t>
            </w:r>
          </w:p>
        </w:tc>
      </w:tr>
    </w:tbl>
    <w:p/>
    <w:p>
      <w:pPr>
        <w:pStyle w:val="Heading1"/>
      </w:pPr>
      <w:r>
        <w:t>19. Open decisions before coding</w:t>
      </w:r>
    </w:p>
    <w:tbl>
      <w:tblPr>
        <w:tblStyle w:val="TableGrid"/>
        <w:tblW w:type="auto" w:w="0"/>
        <w:jc w:val="center"/>
        <w:tblLook w:firstColumn="1" w:firstRow="1" w:lastColumn="0" w:lastRow="0" w:noHBand="0" w:noVBand="1" w:val="04A0"/>
      </w:tblPr>
      <w:tblGrid>
        <w:gridCol w:w="4997"/>
        <w:gridCol w:w="4997"/>
      </w:tblGrid>
      <w:tr>
        <w:trPr>
          <w:tblHeader w:val="true"/>
          <w:tblHeader w:val="true"/>
        </w:trPr>
        <w:tc>
          <w:tcPr>
            <w:tcW w:type="dxa" w:w="3024"/>
            <w:vAlign w:val="center"/>
            <w:shd w:fill="1F4E78"/>
          </w:tcPr>
          <w:p>
            <w:r/>
            <w:r>
              <w:rPr>
                <w:b/>
                <w:color w:val="FFFFFF"/>
                <w:sz w:val="18"/>
              </w:rPr>
              <w:t>Decision</w:t>
            </w:r>
          </w:p>
        </w:tc>
        <w:tc>
          <w:tcPr>
            <w:tcW w:type="dxa" w:w="6624"/>
            <w:vAlign w:val="center"/>
            <w:shd w:fill="1F4E78"/>
          </w:tcPr>
          <w:p>
            <w:r/>
            <w:r>
              <w:rPr>
                <w:b/>
                <w:color w:val="FFFFFF"/>
                <w:sz w:val="18"/>
              </w:rPr>
              <w:t>Required evidence / owner</w:t>
            </w:r>
          </w:p>
        </w:tc>
      </w:tr>
      <w:tr>
        <w:tc>
          <w:tcPr>
            <w:tcW w:type="dxa" w:w="3024"/>
            <w:vAlign w:val="center"/>
          </w:tcPr>
          <w:p>
            <w:r/>
            <w:r>
              <w:rPr>
                <w:b w:val="0"/>
                <w:sz w:val="17"/>
              </w:rPr>
              <w:t>Free data provider</w:t>
            </w:r>
          </w:p>
        </w:tc>
        <w:tc>
          <w:tcPr>
            <w:tcW w:type="dxa" w:w="6624"/>
            <w:vAlign w:val="center"/>
          </w:tcPr>
          <w:p>
            <w:r/>
            <w:r>
              <w:rPr>
                <w:b w:val="0"/>
                <w:sz w:val="17"/>
              </w:rPr>
              <w:t>Compare official documentation, ASX coverage, limits and display/licensing terms.</w:t>
            </w:r>
          </w:p>
        </w:tc>
      </w:tr>
      <w:tr>
        <w:tc>
          <w:tcPr>
            <w:tcW w:type="dxa" w:w="3024"/>
            <w:vAlign w:val="center"/>
            <w:shd w:fill="F7F9FB"/>
          </w:tcPr>
          <w:p>
            <w:r/>
            <w:r>
              <w:rPr>
                <w:b w:val="0"/>
                <w:sz w:val="17"/>
              </w:rPr>
              <w:t>Exact nine demonstration stocks</w:t>
            </w:r>
          </w:p>
        </w:tc>
        <w:tc>
          <w:tcPr>
            <w:tcW w:type="dxa" w:w="6624"/>
            <w:vAlign w:val="center"/>
            <w:shd w:fill="F7F9FB"/>
          </w:tcPr>
          <w:p>
            <w:r/>
            <w:r>
              <w:rPr>
                <w:b w:val="0"/>
                <w:sz w:val="17"/>
              </w:rPr>
              <w:t>Select current diversified large ASX companies and record selection date.</w:t>
            </w:r>
          </w:p>
        </w:tc>
      </w:tr>
      <w:tr>
        <w:tc>
          <w:tcPr>
            <w:tcW w:type="dxa" w:w="3024"/>
            <w:vAlign w:val="center"/>
          </w:tcPr>
          <w:p>
            <w:r/>
            <w:r>
              <w:rPr>
                <w:b w:val="0"/>
                <w:sz w:val="17"/>
              </w:rPr>
              <w:t>Indicator windows</w:t>
            </w:r>
          </w:p>
        </w:tc>
        <w:tc>
          <w:tcPr>
            <w:tcW w:type="dxa" w:w="6624"/>
            <w:vAlign w:val="center"/>
          </w:tcPr>
          <w:p>
            <w:r/>
            <w:r>
              <w:rPr>
                <w:b w:val="0"/>
                <w:sz w:val="17"/>
              </w:rPr>
              <w:t>Choose a small initial set; document formulas and warm-up requirements.</w:t>
            </w:r>
          </w:p>
        </w:tc>
      </w:tr>
      <w:tr>
        <w:tc>
          <w:tcPr>
            <w:tcW w:type="dxa" w:w="3024"/>
            <w:vAlign w:val="center"/>
            <w:shd w:fill="F7F9FB"/>
          </w:tcPr>
          <w:p>
            <w:r/>
            <w:r>
              <w:rPr>
                <w:b w:val="0"/>
                <w:sz w:val="17"/>
              </w:rPr>
              <w:t>Volatility threshold parameters</w:t>
            </w:r>
          </w:p>
        </w:tc>
        <w:tc>
          <w:tcPr>
            <w:tcW w:type="dxa" w:w="6624"/>
            <w:vAlign w:val="center"/>
            <w:shd w:fill="F7F9FB"/>
          </w:tcPr>
          <w:p>
            <w:r/>
            <w:r>
              <w:rPr>
                <w:b w:val="0"/>
                <w:sz w:val="17"/>
              </w:rPr>
              <w:t>Select window and k using validation data only.</w:t>
            </w:r>
          </w:p>
        </w:tc>
      </w:tr>
      <w:tr>
        <w:tc>
          <w:tcPr>
            <w:tcW w:type="dxa" w:w="3024"/>
            <w:vAlign w:val="center"/>
          </w:tcPr>
          <w:p>
            <w:r/>
            <w:r>
              <w:rPr>
                <w:b w:val="0"/>
                <w:sz w:val="17"/>
              </w:rPr>
              <w:t>Validation dates</w:t>
            </w:r>
          </w:p>
        </w:tc>
        <w:tc>
          <w:tcPr>
            <w:tcW w:type="dxa" w:w="6624"/>
            <w:vAlign w:val="center"/>
          </w:tcPr>
          <w:p>
            <w:r/>
            <w:r>
              <w:rPr>
                <w:b w:val="0"/>
                <w:sz w:val="17"/>
              </w:rPr>
              <w:t>Choose chronological folds after inspecting coverage; keep final period untouched.</w:t>
            </w:r>
          </w:p>
        </w:tc>
      </w:tr>
      <w:tr>
        <w:tc>
          <w:tcPr>
            <w:tcW w:type="dxa" w:w="3024"/>
            <w:vAlign w:val="center"/>
            <w:shd w:fill="F7F9FB"/>
          </w:tcPr>
          <w:p>
            <w:r/>
            <w:r>
              <w:rPr>
                <w:b w:val="0"/>
                <w:sz w:val="17"/>
              </w:rPr>
              <w:t>Balanced-score weights</w:t>
            </w:r>
          </w:p>
        </w:tc>
        <w:tc>
          <w:tcPr>
            <w:tcW w:type="dxa" w:w="6624"/>
            <w:vAlign w:val="center"/>
            <w:shd w:fill="F7F9FB"/>
          </w:tcPr>
          <w:p>
            <w:r/>
            <w:r>
              <w:rPr>
                <w:b w:val="0"/>
                <w:sz w:val="17"/>
              </w:rPr>
              <w:t>Define before final testing and record rationale.</w:t>
            </w:r>
          </w:p>
        </w:tc>
      </w:tr>
      <w:tr>
        <w:tc>
          <w:tcPr>
            <w:tcW w:type="dxa" w:w="3024"/>
            <w:vAlign w:val="center"/>
          </w:tcPr>
          <w:p>
            <w:r/>
            <w:r>
              <w:rPr>
                <w:b w:val="0"/>
                <w:sz w:val="17"/>
              </w:rPr>
              <w:t>Free-host storage constraints</w:t>
            </w:r>
          </w:p>
        </w:tc>
        <w:tc>
          <w:tcPr>
            <w:tcW w:type="dxa" w:w="6624"/>
            <w:vAlign w:val="center"/>
          </w:tcPr>
          <w:p>
            <w:r/>
            <w:r>
              <w:rPr>
                <w:b w:val="0"/>
                <w:sz w:val="17"/>
              </w:rPr>
              <w:t>Confirm secure connectivity and persistence limitations.</w:t>
            </w:r>
          </w:p>
        </w:tc>
      </w:tr>
    </w:tbl>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EquityLens | Planning document | 1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EquityLens - Project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3333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