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jc w:val="center"/>
      </w:pPr>
      <w:r>
        <w:rPr>
          <w:b/>
          <w:bCs/>
          <w:color w:val="1F3B4D"/>
          <w:sz w:val="72"/>
          <w:szCs w:val="72"/>
        </w:rPr>
        <w:t xml:space="preserve">SWACHTA</w:t>
      </w:r>
    </w:p>
    <w:p>
      <w:pPr>
        <w:spacing w:after="60" w:before="100"/>
        <w:jc w:val="center"/>
      </w:pPr>
      <w:r>
        <w:rPr>
          <w:i/>
          <w:iCs/>
          <w:color w:val="C99A2E"/>
          <w:sz w:val="30"/>
          <w:szCs w:val="30"/>
        </w:rPr>
        <w:t xml:space="preserve">साफ़ शहर. सही दाम।</w:t>
      </w:r>
    </w:p>
    <w:p>
      <w:pPr>
        <w:spacing w:after="500"/>
        <w:jc w:val="center"/>
      </w:pPr>
      <w:r>
        <w:rPr>
          <w:i/>
          <w:iCs/>
          <w:color w:val="5A5A5A"/>
          <w:sz w:val="24"/>
          <w:szCs w:val="24"/>
        </w:rPr>
        <w:t xml:space="preserve">Clean City. Fair Price.</w:t>
      </w:r>
    </w:p>
    <w:p>
      <w:pPr>
        <w:spacing w:after="100"/>
        <w:jc w:val="center"/>
      </w:pPr>
      <w:r>
        <w:rPr>
          <w:b/>
          <w:bCs/>
          <w:color w:val="2E7D32"/>
          <w:sz w:val="34"/>
          <w:szCs w:val="34"/>
        </w:rPr>
        <w:t xml:space="preserve">COMPREHENSIVE BUSINESS PLAN</w:t>
      </w:r>
    </w:p>
    <w:p>
      <w:pPr>
        <w:spacing w:after="900"/>
        <w:jc w:val="center"/>
      </w:pPr>
      <w:r>
        <w:rPr>
          <w:color w:val="5A5A5A"/>
          <w:sz w:val="22"/>
          <w:szCs w:val="22"/>
        </w:rPr>
        <w:t xml:space="preserve">A Technology-Enabled Waste Management &amp; Circular Value Platform — Ghaziabad Pilot and Beyond</w:t>
      </w:r>
    </w:p>
    <w:p>
      <w:pPr>
        <w:spacing w:before="1600"/>
        <w:jc w:val="center"/>
      </w:pPr>
      <w:r>
        <w:rPr>
          <w:color w:val="222222"/>
          <w:sz w:val="21"/>
          <w:szCs w:val="21"/>
        </w:rPr>
        <w:t xml:space="preserve">Prepared by Shivam Yadav, Founder &amp; Technical Lead</w:t>
      </w:r>
    </w:p>
    <w:p>
      <w:pPr>
        <w:spacing w:after="100"/>
        <w:jc w:val="center"/>
      </w:pPr>
      <w:r>
        <w:rPr>
          <w:color w:val="222222"/>
          <w:sz w:val="21"/>
          <w:szCs w:val="21"/>
        </w:rPr>
        <w:t xml:space="preserve">July 2026</w:t>
      </w:r>
    </w:p>
    <w:p>
      <w:pPr>
        <w:spacing w:before="600"/>
        <w:jc w:val="center"/>
      </w:pPr>
      <w:r>
        <w:rPr>
          <w:i/>
          <w:iCs/>
          <w:color w:val="5A5A5A"/>
          <w:sz w:val="18"/>
          <w:szCs w:val="18"/>
        </w:rPr>
        <w:t xml:space="preserve">CONFIDENTIAL — Prepared for prospective financing partners</w:t>
      </w:r>
    </w:p>
    <w:p>
      <w:pPr>
        <w:sectPr>
          <w:pgSz w:w="12240" w:h="15840" w:orient="portrait"/>
          <w:pgMar w:top="1440" w:right="1440" w:bottom="1440" w:left="1440" w:header="708" w:footer="708" w:gutter="0"/>
          <w:pgNumType/>
          <w:docGrid w:linePitch="360"/>
        </w:sectPr>
      </w:pPr>
    </w:p>
    <w:p>
      <w:pPr>
        <w:pStyle w:val="Heading1"/>
        <w:spacing w:after="200" w:before="420"/>
      </w:pPr>
      <w:r>
        <w:rPr>
          <w:b/>
          <w:bCs/>
          <w:color w:val="1F3B4D"/>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spacing w:after="200" w:before="420"/>
      </w:pPr>
      <w:r>
        <w:rPr>
          <w:b/>
          <w:bCs/>
          <w:color w:val="1F3B4D"/>
          <w:sz w:val="30"/>
          <w:szCs w:val="30"/>
        </w:rPr>
        <w:t xml:space="preserve">1. Executive Summary</w:t>
      </w:r>
    </w:p>
    <w:p>
      <w:pPr>
        <w:spacing w:after="160" w:line="276"/>
      </w:pPr>
      <w:r>
        <w:rPr>
          <w:color w:val="222222"/>
          <w:sz w:val="21"/>
          <w:szCs w:val="21"/>
        </w:rPr>
        <w:t xml:space="preserve">Swachta is a technology-enabled sanitation and solid waste management venture built to close the collection-to-processing gap in Indian cities, beginning with a focused pilot in Ghaziabad, Uttar Pradesh. India's waste system fails not for lack of ambition but for lack of a reliable link between the household and the processor: waste is generated faster than it can be collected, and what is collected is too mixed to be recovered efficiently. Of roughly 133,760 tonnes of municipal solid waste produced daily nationwide, only around 91,000 tonnes are collected and closer to 26,000 tonnes are actually treated, leaving a substantial share unprocessed or dumped at overloaded landfill sites.</w:t>
      </w:r>
    </w:p>
    <w:p>
      <w:pPr>
        <w:spacing w:after="160" w:line="276"/>
      </w:pPr>
      <w:r>
        <w:rPr>
          <w:color w:val="222222"/>
          <w:sz w:val="21"/>
          <w:szCs w:val="21"/>
        </w:rPr>
        <w:t xml:space="preserve">Swachta's founding thesis is narrow by design: it does not attempt to own energy-conversion infrastructure. Municipal-scale incineration and waste-to-energy plants require multi-hundred-crore capital and are already the domain of large integrated operators. Instead, Swachta owns the layer that is actually broken — verified source segregation, reliable last-mile collection, and traceable chain-of-custody — and becomes the dependable supply partner that composting units, biogas operators, recyclers, and RDF buyers cannot get from an unsegregated municipal stream today.</w:t>
      </w:r>
    </w:p>
    <w:p>
      <w:pPr>
        <w:spacing w:after="160" w:line="276"/>
      </w:pPr>
      <w:r>
        <w:rPr>
          <w:color w:val="222222"/>
          <w:sz w:val="21"/>
          <w:szCs w:val="21"/>
        </w:rPr>
        <w:t xml:space="preserve">This document sets out the problem, the product, the technical model for converting different waste streams into recovered value, the market and competitive landscape, the go-to-market plan for the Ghaziabad pilot, the organisation the venture needs to build, a phased financial plan, a full risk assessment, and the specific ask being made of financing partners at this stage.</w:t>
      </w:r>
    </w:p>
    <w:p>
      <w:pPr>
        <w:spacing w:after="90"/>
      </w:pPr>
      <w:r>
        <w:rPr>
          <w:b/>
          <w:bCs/>
          <w:color w:val="1F3B4D"/>
          <w:sz w:val="21"/>
          <w:szCs w:val="21"/>
        </w:rPr>
        <w:t xml:space="preserve">The ask: </w:t>
      </w:r>
      <w:r>
        <w:rPr>
          <w:color w:val="222222"/>
          <w:sz w:val="21"/>
          <w:szCs w:val="21"/>
        </w:rPr>
        <w:t xml:space="preserve">a seed/pilot tranche to fund a 6–12 month, 2–3 ward Ghaziabad pilot, validate unit economics across three revenue streams, and build the evidence base for either continued grant/ULB-backed scaling or a subsequent equity round. See Section 11 for the full financial plan and funding structure.</w:t>
      </w:r>
    </w:p>
    <w:p>
      <w:pPr>
        <w:pBdr>
          <w:left w:val="single" w:color="C99A2E" w:sz="12" w:space="8"/>
        </w:pBdr>
        <w:shd w:fill="FFF7E0" w:val="clear"/>
        <w:spacing w:after="200" w:before="100"/>
      </w:pPr>
      <w:r>
        <w:rPr>
          <w:i/>
          <w:iCs/>
          <w:color w:val="6B5B10"/>
          <w:sz w:val="20"/>
          <w:szCs w:val="20"/>
        </w:rPr>
        <w:t xml:space="preserve">Founder's note on scope: this plan intentionally does not promise a Swachta-owned waste-to-energy plant. That claim would not survive technical diligence with any serious financier. What follows is the version built to survive it — and to actually be buildable by a small, early-stage team.</w:t>
      </w:r>
    </w:p>
    <w:p>
      <w:r>
        <w:br w:type="page"/>
      </w:r>
    </w:p>
    <w:p>
      <w:pPr>
        <w:pStyle w:val="Heading1"/>
        <w:spacing w:after="200" w:before="420"/>
      </w:pPr>
      <w:r>
        <w:rPr>
          <w:b/>
          <w:bCs/>
          <w:color w:val="1F3B4D"/>
          <w:sz w:val="30"/>
          <w:szCs w:val="30"/>
        </w:rPr>
        <w:t xml:space="preserve">2. Vision, Mission and Core Values</w:t>
      </w:r>
    </w:p>
    <w:p>
      <w:pPr>
        <w:pStyle w:val="Heading2"/>
        <w:spacing w:after="150" w:before="300"/>
      </w:pPr>
      <w:r>
        <w:rPr>
          <w:b/>
          <w:bCs/>
          <w:color w:val="2E7D32"/>
          <w:sz w:val="24"/>
          <w:szCs w:val="24"/>
        </w:rPr>
        <w:t xml:space="preserve">2.1 Vision</w:t>
      </w:r>
    </w:p>
    <w:p>
      <w:pPr>
        <w:spacing w:after="160" w:line="276"/>
      </w:pPr>
      <w:r>
        <w:rPr>
          <w:color w:val="222222"/>
          <w:sz w:val="21"/>
          <w:szCs w:val="21"/>
        </w:rPr>
        <w:t xml:space="preserve">A Ghaziabad — and eventually a Delhi-NCR — where no household's waste question is ‘where does this go,’ because the answer is visible, verified, and fairly compensated at every step from doorstep to downstream use.</w:t>
      </w:r>
    </w:p>
    <w:p>
      <w:pPr>
        <w:pStyle w:val="Heading2"/>
        <w:spacing w:after="150" w:before="300"/>
      </w:pPr>
      <w:r>
        <w:rPr>
          <w:b/>
          <w:bCs/>
          <w:color w:val="2E7D32"/>
          <w:sz w:val="24"/>
          <w:szCs w:val="24"/>
        </w:rPr>
        <w:t xml:space="preserve">2.2 Mission</w:t>
      </w:r>
    </w:p>
    <w:p>
      <w:pPr>
        <w:spacing w:after="160" w:line="276"/>
      </w:pPr>
      <w:r>
        <w:rPr>
          <w:color w:val="222222"/>
          <w:sz w:val="21"/>
          <w:szCs w:val="21"/>
        </w:rPr>
        <w:t xml:space="preserve">To build the technology and operating layer that makes source-segregated collection the default in Indian tier-2 cities, and to route recovered material into composting, recycling, and refuse-derived fuel value chains — while making the sanitation workforce a visible, fairly paid, and dignified part of that system rather than an invisible one.</w:t>
      </w:r>
    </w:p>
    <w:p>
      <w:pPr>
        <w:pStyle w:val="Heading2"/>
        <w:spacing w:after="150" w:before="300"/>
      </w:pPr>
      <w:r>
        <w:rPr>
          <w:b/>
          <w:bCs/>
          <w:color w:val="2E7D32"/>
          <w:sz w:val="24"/>
          <w:szCs w:val="24"/>
        </w:rPr>
        <w:t xml:space="preserve">2.3 Core Values</w:t>
      </w:r>
    </w:p>
    <w:p>
      <w:pPr>
        <w:pStyle w:val="ListParagraph"/>
        <w:numPr>
          <w:ilvl w:val="0"/>
          <w:numId w:val="2"/>
        </w:numPr>
        <w:spacing w:after="90"/>
      </w:pPr>
      <w:r>
        <w:rPr>
          <w:color w:val="222222"/>
          <w:sz w:val="21"/>
          <w:szCs w:val="21"/>
        </w:rPr>
        <w:t xml:space="preserve">Dignity by design — sanitation and collection workers are treated as the operational backbone of the model, not a cost line to minimise.</w:t>
      </w:r>
    </w:p>
    <w:p>
      <w:pPr>
        <w:pStyle w:val="ListParagraph"/>
        <w:numPr>
          <w:ilvl w:val="0"/>
          <w:numId w:val="2"/>
        </w:numPr>
        <w:spacing w:after="90"/>
      </w:pPr>
      <w:r>
        <w:rPr>
          <w:color w:val="222222"/>
          <w:sz w:val="21"/>
          <w:szCs w:val="21"/>
        </w:rPr>
        <w:t xml:space="preserve">Radical traceability — every claim Swachta makes to a household, a ULB, or a financier is backed by logged, verifiable data, not estimates.</w:t>
      </w:r>
    </w:p>
    <w:p>
      <w:pPr>
        <w:pStyle w:val="ListParagraph"/>
        <w:numPr>
          <w:ilvl w:val="0"/>
          <w:numId w:val="2"/>
        </w:numPr>
        <w:spacing w:after="90"/>
      </w:pPr>
      <w:r>
        <w:rPr>
          <w:color w:val="222222"/>
          <w:sz w:val="21"/>
          <w:szCs w:val="21"/>
        </w:rPr>
        <w:t xml:space="preserve">Fair price, not lowest price — ‘Sahi Daam’ (fair price) is a commitment that both households and workers are paying/earning a sustainable rate, not a race-to-the-bottom tariff.</w:t>
      </w:r>
    </w:p>
    <w:p>
      <w:pPr>
        <w:pStyle w:val="ListParagraph"/>
        <w:numPr>
          <w:ilvl w:val="0"/>
          <w:numId w:val="2"/>
        </w:numPr>
        <w:spacing w:after="90"/>
      </w:pPr>
      <w:r>
        <w:rPr>
          <w:color w:val="222222"/>
          <w:sz w:val="21"/>
          <w:szCs w:val="21"/>
        </w:rPr>
        <w:t xml:space="preserve">Prove it small before it's promised big — every capability in this plan is sequenced so it is demonstrated at pilot scale before it appears in an investor projection.</w:t>
      </w:r>
    </w:p>
    <w:p>
      <w:r>
        <w:br w:type="page"/>
      </w:r>
    </w:p>
    <w:p>
      <w:pPr>
        <w:pStyle w:val="Heading1"/>
        <w:spacing w:after="200" w:before="420"/>
      </w:pPr>
      <w:r>
        <w:rPr>
          <w:b/>
          <w:bCs/>
          <w:color w:val="1F3B4D"/>
          <w:sz w:val="30"/>
          <w:szCs w:val="30"/>
        </w:rPr>
        <w:t xml:space="preserve">3. The Problem</w:t>
      </w:r>
    </w:p>
    <w:p>
      <w:pPr>
        <w:pStyle w:val="Heading2"/>
        <w:spacing w:after="150" w:before="300"/>
      </w:pPr>
      <w:r>
        <w:rPr>
          <w:b/>
          <w:bCs/>
          <w:color w:val="2E7D32"/>
          <w:sz w:val="24"/>
          <w:szCs w:val="24"/>
        </w:rPr>
        <w:t xml:space="preserve">3.1 The scale of the gap</w:t>
      </w:r>
    </w:p>
    <w:p>
      <w:pPr>
        <w:pStyle w:val="ListParagraph"/>
        <w:numPr>
          <w:ilvl w:val="0"/>
          <w:numId w:val="2"/>
        </w:numPr>
        <w:spacing w:after="90"/>
      </w:pPr>
      <w:r>
        <w:rPr>
          <w:color w:val="222222"/>
          <w:sz w:val="21"/>
          <w:szCs w:val="21"/>
        </w:rPr>
        <w:t xml:space="preserve">India generates roughly 62 million tonnes of municipal solid waste per year, growing at approximately 4% annually; per-capita urban waste generation is projected to roughly double from 2015 levels, driven by urbanisation and rising incomes.</w:t>
      </w:r>
    </w:p>
    <w:p>
      <w:pPr>
        <w:pStyle w:val="ListParagraph"/>
        <w:numPr>
          <w:ilvl w:val="0"/>
          <w:numId w:val="2"/>
        </w:numPr>
        <w:spacing w:after="90"/>
      </w:pPr>
      <w:r>
        <w:rPr>
          <w:color w:val="222222"/>
          <w:sz w:val="21"/>
          <w:szCs w:val="21"/>
        </w:rPr>
        <w:t xml:space="preserve">Only about 55% of daily waste generated nationally is collected, and less than a quarter is actually treated — the remainder goes to landfill or is left unmanaged in public spaces, drains, and water bodies.</w:t>
      </w:r>
    </w:p>
    <w:p>
      <w:pPr>
        <w:pStyle w:val="ListParagraph"/>
        <w:numPr>
          <w:ilvl w:val="0"/>
          <w:numId w:val="2"/>
        </w:numPr>
        <w:spacing w:after="90"/>
      </w:pPr>
      <w:r>
        <w:rPr>
          <w:color w:val="222222"/>
          <w:sz w:val="21"/>
          <w:szCs w:val="21"/>
        </w:rPr>
        <w:t xml:space="preserve">The Centre for Science and Environment's 2024 State of India Environment report found only 17% of waste at Indian dumpsites has been remediated, with no action taken at all on 56% of legacy waste.</w:t>
      </w:r>
    </w:p>
    <w:p>
      <w:pPr>
        <w:pStyle w:val="ListParagraph"/>
        <w:numPr>
          <w:ilvl w:val="0"/>
          <w:numId w:val="2"/>
        </w:numPr>
        <w:spacing w:after="90"/>
      </w:pPr>
      <w:r>
        <w:rPr>
          <w:color w:val="222222"/>
          <w:sz w:val="21"/>
          <w:szCs w:val="21"/>
        </w:rPr>
        <w:t xml:space="preserve">More than 30,000 tonnes — about 21% of total MSW — goes unprocessed every single day nationally, disproportionately concentrated in tier-2 and tier-3 cities like Ghaziabad that lack the processing infrastructure metros have slowly built up.</w:t>
      </w:r>
    </w:p>
    <w:p>
      <w:pPr>
        <w:pStyle w:val="ListParagraph"/>
        <w:numPr>
          <w:ilvl w:val="0"/>
          <w:numId w:val="2"/>
        </w:numPr>
        <w:spacing w:after="90"/>
      </w:pPr>
      <w:r>
        <w:rPr>
          <w:color w:val="222222"/>
          <w:sz w:val="21"/>
          <w:szCs w:val="21"/>
        </w:rPr>
        <w:t xml:space="preserve">Maharashtra alone generates over 22,500 metric tonnes of MSW per day — illustrating how state-level volumes dwarf what any single private operator, however well-funded, can process alone. This is a many-operators market, not a winner-take-all one.</w:t>
      </w:r>
    </w:p>
    <w:p>
      <w:pPr>
        <w:pStyle w:val="Heading2"/>
        <w:spacing w:after="150" w:before="300"/>
      </w:pPr>
      <w:r>
        <w:rPr>
          <w:b/>
          <w:bCs/>
          <w:color w:val="2E7D32"/>
          <w:sz w:val="24"/>
          <w:szCs w:val="24"/>
        </w:rPr>
        <w:t xml:space="preserve">3.2 Why the gap persists</w:t>
      </w:r>
    </w:p>
    <w:p>
      <w:pPr>
        <w:spacing w:after="160" w:line="276"/>
      </w:pPr>
      <w:r>
        <w:rPr>
          <w:color w:val="222222"/>
          <w:sz w:val="21"/>
          <w:szCs w:val="21"/>
        </w:rPr>
        <w:t xml:space="preserve">The waste problem in India is frequently framed as an infrastructure gap. It is at least as much a data and incentive gap:</w:t>
      </w:r>
    </w:p>
    <w:p>
      <w:pPr>
        <w:pStyle w:val="ListParagraph"/>
        <w:numPr>
          <w:ilvl w:val="0"/>
          <w:numId w:val="2"/>
        </w:numPr>
        <w:spacing w:after="90"/>
      </w:pPr>
      <w:r>
        <w:rPr>
          <w:color w:val="222222"/>
          <w:sz w:val="21"/>
          <w:szCs w:val="21"/>
        </w:rPr>
        <w:t xml:space="preserve">Segregation at source is inconsistent, so mixed waste arrives at processing points contaminated — making composting, biomethanation, and recycling all less efficient or commercially unviable at exactly the point where value could be recovered.</w:t>
      </w:r>
    </w:p>
    <w:p>
      <w:pPr>
        <w:pStyle w:val="ListParagraph"/>
        <w:numPr>
          <w:ilvl w:val="0"/>
          <w:numId w:val="2"/>
        </w:numPr>
        <w:spacing w:after="90"/>
      </w:pPr>
      <w:r>
        <w:rPr>
          <w:color w:val="222222"/>
          <w:sz w:val="21"/>
          <w:szCs w:val="21"/>
        </w:rPr>
        <w:t xml:space="preserve">Urban local bodies increasingly outsource collection and processing through public-private partnerships — more than 123 have been established nationally with operators such as Ramky Enviro and Urbaser Sumeet — but these arrangements have drawn documented criticism for inflated reporting, unrealistic daily targets imposed on waste pickers, and contract structures that exclude local or informal operators.</w:t>
      </w:r>
    </w:p>
    <w:p>
      <w:pPr>
        <w:pStyle w:val="ListParagraph"/>
        <w:numPr>
          <w:ilvl w:val="0"/>
          <w:numId w:val="2"/>
        </w:numPr>
        <w:spacing w:after="90"/>
      </w:pPr>
      <w:r>
        <w:rPr>
          <w:color w:val="222222"/>
          <w:sz w:val="21"/>
          <w:szCs w:val="21"/>
        </w:rPr>
        <w:t xml:space="preserve">Millions of informal waste pickers and scrap dealers (raddiwalas) already perform the bulk of the sorting and recovery work in India's waste system, operating on thin, undignified margins with no formal recognition, insurance, or bargaining power — a workforce Swachta is designed to formalise and route volume through, not to displace.</w:t>
      </w:r>
    </w:p>
    <w:p>
      <w:pPr>
        <w:pStyle w:val="ListParagraph"/>
        <w:numPr>
          <w:ilvl w:val="0"/>
          <w:numId w:val="2"/>
        </w:numPr>
        <w:spacing w:after="90"/>
      </w:pPr>
      <w:r>
        <w:rPr>
          <w:color w:val="222222"/>
          <w:sz w:val="21"/>
          <w:szCs w:val="21"/>
        </w:rPr>
        <w:t xml:space="preserve">Households have little visibility into what happens to their waste after collection, which removes any behavioural incentive to segregate carefully — there is no feedback loop connecting the effort of segregation to a visible outcome.</w:t>
      </w:r>
    </w:p>
    <w:p>
      <w:pPr>
        <w:pStyle w:val="Heading2"/>
        <w:spacing w:after="150" w:before="300"/>
      </w:pPr>
      <w:r>
        <w:rPr>
          <w:b/>
          <w:bCs/>
          <w:color w:val="2E7D32"/>
          <w:sz w:val="24"/>
          <w:szCs w:val="24"/>
        </w:rPr>
        <w:t xml:space="preserve">3.3 The regulatory tailwind</w:t>
      </w:r>
    </w:p>
    <w:p>
      <w:pPr>
        <w:spacing w:after="160" w:line="276"/>
      </w:pPr>
      <w:r>
        <w:rPr>
          <w:color w:val="222222"/>
          <w:sz w:val="21"/>
          <w:szCs w:val="21"/>
        </w:rPr>
        <w:t xml:space="preserve">Revised Solid Waste Management Rules, effective from October 2025, mandate source segregation, introduce financial penalties for non-compliance, and — notably — grant sanitation workers formal enforcement authority for the first time. This is a direct and recent regulatory signal in Swachta's favour: cities now need compliance tooling, verifiable segregation data, and worker-inclusive operating models, not simply more trucks on the road.</w:t>
      </w:r>
    </w:p>
    <w:p>
      <w:pPr>
        <w:pStyle w:val="Heading2"/>
        <w:spacing w:after="150" w:before="300"/>
      </w:pPr>
      <w:r>
        <w:rPr>
          <w:b/>
          <w:bCs/>
          <w:color w:val="2E7D32"/>
          <w:sz w:val="24"/>
          <w:szCs w:val="24"/>
        </w:rPr>
        <w:t xml:space="preserve">3.4 Who feels this problem, concretely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50"/>
      </w:tblGrid>
      <w:tr>
        <w:trPr>
          <w:tblHeader/>
        </w:trPr>
        <w:tc>
          <w:tcPr>
            <w:tcW w:type="dxa" w:w="2200"/>
            <w:shd w:fill="1F3B4D" w:val="clear"/>
          </w:tcPr>
          <w:p>
            <w:r>
              <w:rPr>
                <w:b/>
                <w:bCs/>
                <w:color w:val="FFFFFF"/>
                <w:sz w:val="19"/>
                <w:szCs w:val="19"/>
              </w:rPr>
              <w:t xml:space="preserve">Stakeholder</w:t>
            </w:r>
          </w:p>
        </w:tc>
        <w:tc>
          <w:tcPr>
            <w:tcW w:type="dxa" w:w="3700"/>
            <w:shd w:fill="1F3B4D" w:val="clear"/>
          </w:tcPr>
          <w:p>
            <w:r>
              <w:rPr>
                <w:b/>
                <w:bCs/>
                <w:color w:val="FFFFFF"/>
                <w:sz w:val="19"/>
                <w:szCs w:val="19"/>
              </w:rPr>
              <w:t xml:space="preserve">What they experience today</w:t>
            </w:r>
          </w:p>
        </w:tc>
        <w:tc>
          <w:tcPr>
            <w:tcW w:type="dxa" w:w="3450"/>
            <w:shd w:fill="1F3B4D" w:val="clear"/>
          </w:tcPr>
          <w:p>
            <w:r>
              <w:rPr>
                <w:b/>
                <w:bCs/>
                <w:color w:val="FFFFFF"/>
                <w:sz w:val="19"/>
                <w:szCs w:val="19"/>
              </w:rPr>
              <w:t xml:space="preserve">What they need</w:t>
            </w:r>
          </w:p>
        </w:tc>
      </w:tr>
      <w:tr>
        <w:tc>
          <w:tcPr>
            <w:tcW w:type="dxa" w:w="2200"/>
            <w:shd w:fill="FFFFFF" w:val="clear"/>
          </w:tcPr>
          <w:p>
            <w:r>
              <w:rPr>
                <w:color w:val="222222"/>
                <w:sz w:val="19"/>
                <w:szCs w:val="19"/>
              </w:rPr>
              <w:t xml:space="preserve">Households</w:t>
            </w:r>
          </w:p>
        </w:tc>
        <w:tc>
          <w:tcPr>
            <w:tcW w:type="dxa" w:w="3700"/>
            <w:shd w:fill="FFFFFF" w:val="clear"/>
          </w:tcPr>
          <w:p>
            <w:r>
              <w:rPr>
                <w:color w:val="222222"/>
                <w:sz w:val="19"/>
                <w:szCs w:val="19"/>
              </w:rPr>
              <w:t xml:space="preserve">Unreliable, unscheduled pickup; no visibility into where waste goes; informal cash-based fees with no receipt or accountability</w:t>
            </w:r>
          </w:p>
        </w:tc>
        <w:tc>
          <w:tcPr>
            <w:tcW w:type="dxa" w:w="3450"/>
            <w:shd w:fill="FFFFFF" w:val="clear"/>
          </w:tcPr>
          <w:p>
            <w:r>
              <w:rPr>
                <w:color w:val="222222"/>
                <w:sz w:val="19"/>
                <w:szCs w:val="19"/>
              </w:rPr>
              <w:t xml:space="preserve">Predictable service, transparent pricing, a sense that segregation effort isn't wasted</w:t>
            </w:r>
          </w:p>
        </w:tc>
      </w:tr>
      <w:tr>
        <w:tc>
          <w:tcPr>
            <w:tcW w:type="dxa" w:w="2200"/>
            <w:shd w:fill="F2F2F2" w:val="clear"/>
          </w:tcPr>
          <w:p>
            <w:r>
              <w:rPr>
                <w:color w:val="222222"/>
                <w:sz w:val="19"/>
                <w:szCs w:val="19"/>
              </w:rPr>
              <w:t xml:space="preserve">Ward-level ULB officials</w:t>
            </w:r>
          </w:p>
        </w:tc>
        <w:tc>
          <w:tcPr>
            <w:tcW w:type="dxa" w:w="3700"/>
            <w:shd w:fill="F2F2F2" w:val="clear"/>
          </w:tcPr>
          <w:p>
            <w:r>
              <w:rPr>
                <w:color w:val="222222"/>
                <w:sz w:val="19"/>
                <w:szCs w:val="19"/>
              </w:rPr>
              <w:t xml:space="preserve">Pressure to hit SWM Rules compliance targets with limited staff and budget; unreliable data from ground operations</w:t>
            </w:r>
          </w:p>
        </w:tc>
        <w:tc>
          <w:tcPr>
            <w:tcW w:type="dxa" w:w="3450"/>
            <w:shd w:fill="F2F2F2" w:val="clear"/>
          </w:tcPr>
          <w:p>
            <w:r>
              <w:rPr>
                <w:color w:val="222222"/>
                <w:sz w:val="19"/>
                <w:szCs w:val="19"/>
              </w:rPr>
              <w:t xml:space="preserve">Verifiable segregation and collection data; a private partner who reduces their operational burden, not one who adds contract-management overhead</w:t>
            </w:r>
          </w:p>
        </w:tc>
      </w:tr>
      <w:tr>
        <w:tc>
          <w:tcPr>
            <w:tcW w:type="dxa" w:w="2200"/>
            <w:shd w:fill="FFFFFF" w:val="clear"/>
          </w:tcPr>
          <w:p>
            <w:r>
              <w:rPr>
                <w:color w:val="222222"/>
                <w:sz w:val="19"/>
                <w:szCs w:val="19"/>
              </w:rPr>
              <w:t xml:space="preserve">Waste workers / pickers</w:t>
            </w:r>
          </w:p>
        </w:tc>
        <w:tc>
          <w:tcPr>
            <w:tcW w:type="dxa" w:w="3700"/>
            <w:shd w:fill="FFFFFF" w:val="clear"/>
          </w:tcPr>
          <w:p>
            <w:r>
              <w:rPr>
                <w:color w:val="222222"/>
                <w:sz w:val="19"/>
                <w:szCs w:val="19"/>
              </w:rPr>
              <w:t xml:space="preserve">Physically demanding, socially stigmatised work; inconsistent and often exploitative earnings; no formal recognition</w:t>
            </w:r>
          </w:p>
        </w:tc>
        <w:tc>
          <w:tcPr>
            <w:tcW w:type="dxa" w:w="3450"/>
            <w:shd w:fill="FFFFFF" w:val="clear"/>
          </w:tcPr>
          <w:p>
            <w:r>
              <w:rPr>
                <w:color w:val="222222"/>
                <w:sz w:val="19"/>
                <w:szCs w:val="19"/>
              </w:rPr>
              <w:t xml:space="preserve">Fair, transparent pay tied to verified work; safety equipment; a path to recognised, dignified employment</w:t>
            </w:r>
          </w:p>
        </w:tc>
      </w:tr>
      <w:tr>
        <w:tc>
          <w:tcPr>
            <w:tcW w:type="dxa" w:w="2200"/>
            <w:shd w:fill="F2F2F2" w:val="clear"/>
          </w:tcPr>
          <w:p>
            <w:r>
              <w:rPr>
                <w:color w:val="222222"/>
                <w:sz w:val="19"/>
                <w:szCs w:val="19"/>
              </w:rPr>
              <w:t xml:space="preserve">Downstream buyers (composters, recyclers, RDF/cement kilns)</w:t>
            </w:r>
          </w:p>
        </w:tc>
        <w:tc>
          <w:tcPr>
            <w:tcW w:type="dxa" w:w="3700"/>
            <w:shd w:fill="F2F2F2" w:val="clear"/>
          </w:tcPr>
          <w:p>
            <w:r>
              <w:rPr>
                <w:color w:val="222222"/>
                <w:sz w:val="19"/>
                <w:szCs w:val="19"/>
              </w:rPr>
              <w:t xml:space="preserve">Inconsistent volume and quality of segregated feedstock, which makes their own unit economics unpredictable</w:t>
            </w:r>
          </w:p>
        </w:tc>
        <w:tc>
          <w:tcPr>
            <w:tcW w:type="dxa" w:w="3450"/>
            <w:shd w:fill="F2F2F2" w:val="clear"/>
          </w:tcPr>
          <w:p>
            <w:r>
              <w:rPr>
                <w:color w:val="222222"/>
                <w:sz w:val="19"/>
                <w:szCs w:val="19"/>
              </w:rPr>
              <w:t xml:space="preserve">A reliable, quality-verified supply partner they can sign standing off-take agreements with</w:t>
            </w:r>
          </w:p>
        </w:tc>
      </w:tr>
    </w:tbl>
    <w:p>
      <w:r>
        <w:br w:type="page"/>
      </w:r>
    </w:p>
    <w:p>
      <w:pPr>
        <w:pStyle w:val="Heading1"/>
        <w:spacing w:after="200" w:before="420"/>
      </w:pPr>
      <w:r>
        <w:rPr>
          <w:b/>
          <w:bCs/>
          <w:color w:val="1F3B4D"/>
          <w:sz w:val="30"/>
          <w:szCs w:val="30"/>
        </w:rPr>
        <w:t xml:space="preserve">4. Market Analysis</w:t>
      </w:r>
    </w:p>
    <w:p>
      <w:pPr>
        <w:pStyle w:val="Heading2"/>
        <w:spacing w:after="150" w:before="300"/>
      </w:pPr>
      <w:r>
        <w:rPr>
          <w:b/>
          <w:bCs/>
          <w:color w:val="2E7D32"/>
          <w:sz w:val="24"/>
          <w:szCs w:val="24"/>
        </w:rPr>
        <w:t xml:space="preserve">4.1 Industry growth and macro trends</w:t>
      </w:r>
    </w:p>
    <w:p>
      <w:pPr>
        <w:pStyle w:val="ListParagraph"/>
        <w:numPr>
          <w:ilvl w:val="0"/>
          <w:numId w:val="2"/>
        </w:numPr>
        <w:spacing w:after="90"/>
      </w:pPr>
      <w:r>
        <w:rPr>
          <w:color w:val="222222"/>
          <w:sz w:val="21"/>
          <w:szCs w:val="21"/>
        </w:rPr>
        <w:t xml:space="preserve">India's solid waste management market is estimated to grow at roughly 7.5% CAGR between 2021 and 2026, driven by urbanisation, tightening regulation, and rising public and investor attention to circularity.</w:t>
      </w:r>
    </w:p>
    <w:p>
      <w:pPr>
        <w:pStyle w:val="ListParagraph"/>
        <w:numPr>
          <w:ilvl w:val="0"/>
          <w:numId w:val="2"/>
        </w:numPr>
        <w:spacing w:after="90"/>
      </w:pPr>
      <w:r>
        <w:rPr>
          <w:color w:val="222222"/>
          <w:sz w:val="21"/>
          <w:szCs w:val="21"/>
        </w:rPr>
        <w:t xml:space="preserve">India's circular economy sector has attracted over $638 million in cumulative funding over the last decade, with 2024 alone accounting for more than $203 million — the highest single-year figure on record — indicating capital is actively flowing into this category, not retreating from it.</w:t>
      </w:r>
    </w:p>
    <w:p>
      <w:pPr>
        <w:pStyle w:val="ListParagraph"/>
        <w:numPr>
          <w:ilvl w:val="0"/>
          <w:numId w:val="2"/>
        </w:numPr>
        <w:spacing w:after="90"/>
      </w:pPr>
      <w:r>
        <w:rPr>
          <w:color w:val="222222"/>
          <w:sz w:val="21"/>
          <w:szCs w:val="21"/>
        </w:rPr>
        <w:t xml:space="preserve">As of early 2026, India has roughly 930 active circular-economy companies, of which about 221 are funded — meaning the majority of the sector, including most waste-tech ventures, is still pre-institutional-funding, which is a normal and not disqualifying stage for Swachta to be at.</w:t>
      </w:r>
    </w:p>
    <w:p>
      <w:pPr>
        <w:pStyle w:val="ListParagraph"/>
        <w:numPr>
          <w:ilvl w:val="0"/>
          <w:numId w:val="2"/>
        </w:numPr>
        <w:spacing w:after="90"/>
      </w:pPr>
      <w:r>
        <w:rPr>
          <w:color w:val="222222"/>
          <w:sz w:val="21"/>
          <w:szCs w:val="21"/>
        </w:rPr>
        <w:t xml:space="preserve">A 2021 Ministry of Housing &amp; Urban Affairs estimate placed the value of recoverable recyclable material within Indian MSW at roughly Rs 30,000 crore (about USD 3.6 billion) per year — value that is currently mostly lost to poor segregation.</w:t>
      </w:r>
    </w:p>
    <w:p>
      <w:pPr>
        <w:pStyle w:val="Heading2"/>
        <w:spacing w:after="150" w:before="300"/>
      </w:pPr>
      <w:r>
        <w:rPr>
          <w:b/>
          <w:bCs/>
          <w:color w:val="2E7D32"/>
          <w:sz w:val="24"/>
          <w:szCs w:val="24"/>
        </w:rPr>
        <w:t xml:space="preserve">4.2 PESTEL snapshot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B4D" w:val="clear"/>
          </w:tcPr>
          <w:p>
            <w:r>
              <w:rPr>
                <w:b/>
                <w:bCs/>
                <w:color w:val="FFFFFF"/>
                <w:sz w:val="19"/>
                <w:szCs w:val="19"/>
              </w:rPr>
              <w:t xml:space="preserve">Factor</w:t>
            </w:r>
          </w:p>
        </w:tc>
        <w:tc>
          <w:tcPr>
            <w:tcW w:type="dxa" w:w="7150"/>
            <w:shd w:fill="1F3B4D" w:val="clear"/>
          </w:tcPr>
          <w:p>
            <w:r>
              <w:rPr>
                <w:b/>
                <w:bCs/>
                <w:color w:val="FFFFFF"/>
                <w:sz w:val="19"/>
                <w:szCs w:val="19"/>
              </w:rPr>
              <w:t xml:space="preserve">Relevance to Swachta</w:t>
            </w:r>
          </w:p>
        </w:tc>
      </w:tr>
      <w:tr>
        <w:tc>
          <w:tcPr>
            <w:tcW w:type="dxa" w:w="2200"/>
            <w:shd w:fill="FFFFFF" w:val="clear"/>
          </w:tcPr>
          <w:p>
            <w:r>
              <w:rPr>
                <w:color w:val="222222"/>
                <w:sz w:val="19"/>
                <w:szCs w:val="19"/>
              </w:rPr>
              <w:t xml:space="preserve">Political</w:t>
            </w:r>
          </w:p>
        </w:tc>
        <w:tc>
          <w:tcPr>
            <w:tcW w:type="dxa" w:w="7150"/>
            <w:shd w:fill="FFFFFF" w:val="clear"/>
          </w:tcPr>
          <w:p>
            <w:r>
              <w:rPr>
                <w:color w:val="222222"/>
                <w:sz w:val="19"/>
                <w:szCs w:val="19"/>
              </w:rPr>
              <w:t xml:space="preserve">SWM is a stated national and state priority (Swachh Bharat Mission 2.0 target: all cities 'garbage free' by 2026); ULB-level political will varies by ward and administration</w:t>
            </w:r>
          </w:p>
        </w:tc>
      </w:tr>
      <w:tr>
        <w:tc>
          <w:tcPr>
            <w:tcW w:type="dxa" w:w="2200"/>
            <w:shd w:fill="F2F2F2" w:val="clear"/>
          </w:tcPr>
          <w:p>
            <w:r>
              <w:rPr>
                <w:color w:val="222222"/>
                <w:sz w:val="19"/>
                <w:szCs w:val="19"/>
              </w:rPr>
              <w:t xml:space="preserve">Economic</w:t>
            </w:r>
          </w:p>
        </w:tc>
        <w:tc>
          <w:tcPr>
            <w:tcW w:type="dxa" w:w="7150"/>
            <w:shd w:fill="F2F2F2" w:val="clear"/>
          </w:tcPr>
          <w:p>
            <w:r>
              <w:rPr>
                <w:color w:val="222222"/>
                <w:sz w:val="19"/>
                <w:szCs w:val="19"/>
              </w:rPr>
              <w:t xml:space="preserve">Household willingness-to-pay is price-sensitive in tier-2 cities; downstream commodity prices (recyclables, RDF) fluctuate with broader material markets</w:t>
            </w:r>
          </w:p>
        </w:tc>
      </w:tr>
      <w:tr>
        <w:tc>
          <w:tcPr>
            <w:tcW w:type="dxa" w:w="2200"/>
            <w:shd w:fill="FFFFFF" w:val="clear"/>
          </w:tcPr>
          <w:p>
            <w:r>
              <w:rPr>
                <w:color w:val="222222"/>
                <w:sz w:val="19"/>
                <w:szCs w:val="19"/>
              </w:rPr>
              <w:t xml:space="preserve">Social</w:t>
            </w:r>
          </w:p>
        </w:tc>
        <w:tc>
          <w:tcPr>
            <w:tcW w:type="dxa" w:w="7150"/>
            <w:shd w:fill="FFFFFF" w:val="clear"/>
          </w:tcPr>
          <w:p>
            <w:r>
              <w:rPr>
                <w:color w:val="222222"/>
                <w:sz w:val="19"/>
                <w:szCs w:val="19"/>
              </w:rPr>
              <w:t xml:space="preserve">Deep-rooted stigma around sanitation work; growing but uneven civic environmental awareness among urban households</w:t>
            </w:r>
          </w:p>
        </w:tc>
      </w:tr>
      <w:tr>
        <w:tc>
          <w:tcPr>
            <w:tcW w:type="dxa" w:w="2200"/>
            <w:shd w:fill="F2F2F2" w:val="clear"/>
          </w:tcPr>
          <w:p>
            <w:r>
              <w:rPr>
                <w:color w:val="222222"/>
                <w:sz w:val="19"/>
                <w:szCs w:val="19"/>
              </w:rPr>
              <w:t xml:space="preserve">Technological</w:t>
            </w:r>
          </w:p>
        </w:tc>
        <w:tc>
          <w:tcPr>
            <w:tcW w:type="dxa" w:w="7150"/>
            <w:shd w:fill="F2F2F2" w:val="clear"/>
          </w:tcPr>
          <w:p>
            <w:r>
              <w:rPr>
                <w:color w:val="222222"/>
                <w:sz w:val="19"/>
                <w:szCs w:val="19"/>
              </w:rPr>
              <w:t xml:space="preserve">Smartphone penetration now supports app-based scheduling and verification even for lower-income urban households and gig workers</w:t>
            </w:r>
          </w:p>
        </w:tc>
      </w:tr>
      <w:tr>
        <w:tc>
          <w:tcPr>
            <w:tcW w:type="dxa" w:w="2200"/>
            <w:shd w:fill="FFFFFF" w:val="clear"/>
          </w:tcPr>
          <w:p>
            <w:r>
              <w:rPr>
                <w:color w:val="222222"/>
                <w:sz w:val="19"/>
                <w:szCs w:val="19"/>
              </w:rPr>
              <w:t xml:space="preserve">Environmental</w:t>
            </w:r>
          </w:p>
        </w:tc>
        <w:tc>
          <w:tcPr>
            <w:tcW w:type="dxa" w:w="7150"/>
            <w:shd w:fill="FFFFFF" w:val="clear"/>
          </w:tcPr>
          <w:p>
            <w:r>
              <w:rPr>
                <w:color w:val="222222"/>
                <w:sz w:val="19"/>
                <w:szCs w:val="19"/>
              </w:rPr>
              <w:t xml:space="preserve">Landfill capacity crisis (e.g., Ghazipur landfill in Delhi) creates urgency; climate commitments add pressure for diversion from landfill</w:t>
            </w:r>
          </w:p>
        </w:tc>
      </w:tr>
      <w:tr>
        <w:tc>
          <w:tcPr>
            <w:tcW w:type="dxa" w:w="2200"/>
            <w:shd w:fill="F2F2F2" w:val="clear"/>
          </w:tcPr>
          <w:p>
            <w:r>
              <w:rPr>
                <w:color w:val="222222"/>
                <w:sz w:val="19"/>
                <w:szCs w:val="19"/>
              </w:rPr>
              <w:t xml:space="preserve">Legal</w:t>
            </w:r>
          </w:p>
        </w:tc>
        <w:tc>
          <w:tcPr>
            <w:tcW w:type="dxa" w:w="7150"/>
            <w:shd w:fill="F2F2F2" w:val="clear"/>
          </w:tcPr>
          <w:p>
            <w:r>
              <w:rPr>
                <w:color w:val="222222"/>
                <w:sz w:val="19"/>
                <w:szCs w:val="19"/>
              </w:rPr>
              <w:t xml:space="preserve">New SWM Rules (effective October 2025) mandate segregation and empower sanitation workers with enforcement authority — a direct tailwind</w:t>
            </w:r>
          </w:p>
        </w:tc>
      </w:tr>
    </w:tbl>
    <w:p>
      <w:pPr>
        <w:pStyle w:val="Heading2"/>
        <w:spacing w:after="150" w:before="300"/>
      </w:pPr>
      <w:r>
        <w:rPr>
          <w:b/>
          <w:bCs/>
          <w:color w:val="2E7D32"/>
          <w:sz w:val="24"/>
          <w:szCs w:val="24"/>
        </w:rPr>
        <w:t xml:space="preserve">4.3 Market sizing — TAM / SAM / SOM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2900"/>
        <w:gridCol w:w="2350"/>
      </w:tblGrid>
      <w:tr>
        <w:trPr>
          <w:tblHeader/>
        </w:trPr>
        <w:tc>
          <w:tcPr>
            <w:tcW w:type="dxa" w:w="1300"/>
            <w:shd w:fill="1F3B4D" w:val="clear"/>
          </w:tcPr>
          <w:p>
            <w:r>
              <w:rPr>
                <w:b/>
                <w:bCs/>
                <w:color w:val="FFFFFF"/>
                <w:sz w:val="19"/>
                <w:szCs w:val="19"/>
              </w:rPr>
              <w:t xml:space="preserve">Layer</w:t>
            </w:r>
          </w:p>
        </w:tc>
        <w:tc>
          <w:tcPr>
            <w:tcW w:type="dxa" w:w="2800"/>
            <w:shd w:fill="1F3B4D" w:val="clear"/>
          </w:tcPr>
          <w:p>
            <w:r>
              <w:rPr>
                <w:b/>
                <w:bCs/>
                <w:color w:val="FFFFFF"/>
                <w:sz w:val="19"/>
                <w:szCs w:val="19"/>
              </w:rPr>
              <w:t xml:space="preserve">Definition</w:t>
            </w:r>
          </w:p>
        </w:tc>
        <w:tc>
          <w:tcPr>
            <w:tcW w:type="dxa" w:w="2900"/>
            <w:shd w:fill="1F3B4D" w:val="clear"/>
          </w:tcPr>
          <w:p>
            <w:r>
              <w:rPr>
                <w:b/>
                <w:bCs/>
                <w:color w:val="FFFFFF"/>
                <w:sz w:val="19"/>
                <w:szCs w:val="19"/>
              </w:rPr>
              <w:t xml:space="preserve">Estimate</w:t>
            </w:r>
          </w:p>
        </w:tc>
        <w:tc>
          <w:tcPr>
            <w:tcW w:type="dxa" w:w="2350"/>
            <w:shd w:fill="1F3B4D" w:val="clear"/>
          </w:tcPr>
          <w:p>
            <w:r>
              <w:rPr>
                <w:b/>
                <w:bCs/>
                <w:color w:val="FFFFFF"/>
                <w:sz w:val="19"/>
                <w:szCs w:val="19"/>
              </w:rPr>
              <w:t xml:space="preserve">Basis</w:t>
            </w:r>
          </w:p>
        </w:tc>
      </w:tr>
      <w:tr>
        <w:tc>
          <w:tcPr>
            <w:tcW w:type="dxa" w:w="1300"/>
            <w:shd w:fill="FFFFFF" w:val="clear"/>
          </w:tcPr>
          <w:p>
            <w:r>
              <w:rPr>
                <w:color w:val="222222"/>
                <w:sz w:val="19"/>
                <w:szCs w:val="19"/>
              </w:rPr>
              <w:t xml:space="preserve">TAM</w:t>
            </w:r>
          </w:p>
        </w:tc>
        <w:tc>
          <w:tcPr>
            <w:tcW w:type="dxa" w:w="2800"/>
            <w:shd w:fill="FFFFFF" w:val="clear"/>
          </w:tcPr>
          <w:p>
            <w:r>
              <w:rPr>
                <w:color w:val="222222"/>
                <w:sz w:val="19"/>
                <w:szCs w:val="19"/>
              </w:rPr>
              <w:t xml:space="preserve">Total value of India's addressable SWM collection, processing and recovered-material market</w:t>
            </w:r>
          </w:p>
        </w:tc>
        <w:tc>
          <w:tcPr>
            <w:tcW w:type="dxa" w:w="2900"/>
            <w:shd w:fill="FFFFFF" w:val="clear"/>
          </w:tcPr>
          <w:p>
            <w:r>
              <w:rPr>
                <w:color w:val="222222"/>
                <w:sz w:val="19"/>
                <w:szCs w:val="19"/>
              </w:rPr>
              <w:t xml:space="preserve">Growing at ~7.5% CAGR; recoverable material alone valued at ~Rs 30,000 crore/yr nationally</w:t>
            </w:r>
          </w:p>
        </w:tc>
        <w:tc>
          <w:tcPr>
            <w:tcW w:type="dxa" w:w="2350"/>
            <w:shd w:fill="FFFFFF" w:val="clear"/>
          </w:tcPr>
          <w:p>
            <w:r>
              <w:rPr>
                <w:color w:val="222222"/>
                <w:sz w:val="19"/>
                <w:szCs w:val="19"/>
              </w:rPr>
              <w:t xml:space="preserve">MoHUA 2021 estimate; sector CAGR research</w:t>
            </w:r>
          </w:p>
        </w:tc>
      </w:tr>
      <w:tr>
        <w:tc>
          <w:tcPr>
            <w:tcW w:type="dxa" w:w="1300"/>
            <w:shd w:fill="F2F2F2" w:val="clear"/>
          </w:tcPr>
          <w:p>
            <w:r>
              <w:rPr>
                <w:color w:val="222222"/>
                <w:sz w:val="19"/>
                <w:szCs w:val="19"/>
              </w:rPr>
              <w:t xml:space="preserve">SAM</w:t>
            </w:r>
          </w:p>
        </w:tc>
        <w:tc>
          <w:tcPr>
            <w:tcW w:type="dxa" w:w="2800"/>
            <w:shd w:fill="F2F2F2" w:val="clear"/>
          </w:tcPr>
          <w:p>
            <w:r>
              <w:rPr>
                <w:color w:val="222222"/>
                <w:sz w:val="19"/>
                <w:szCs w:val="19"/>
              </w:rPr>
              <w:t xml:space="preserve">Tier-2 NCR cities with comparable waste generation profiles and regulatory exposure to Ghaziabad</w:t>
            </w:r>
          </w:p>
        </w:tc>
        <w:tc>
          <w:tcPr>
            <w:tcW w:type="dxa" w:w="2900"/>
            <w:shd w:fill="F2F2F2" w:val="clear"/>
          </w:tcPr>
          <w:p>
            <w:r>
              <w:rPr>
                <w:color w:val="222222"/>
                <w:sz w:val="19"/>
                <w:szCs w:val="19"/>
              </w:rPr>
              <w:t xml:space="preserve">To be sized via structured ward-level waste audits</w:t>
            </w:r>
          </w:p>
        </w:tc>
        <w:tc>
          <w:tcPr>
            <w:tcW w:type="dxa" w:w="2350"/>
            <w:shd w:fill="F2F2F2" w:val="clear"/>
          </w:tcPr>
          <w:p>
            <w:r>
              <w:rPr>
                <w:color w:val="222222"/>
                <w:sz w:val="19"/>
                <w:szCs w:val="19"/>
              </w:rPr>
              <w:t xml:space="preserve">Requires primary data collection — explicitly not invented here</w:t>
            </w:r>
          </w:p>
        </w:tc>
      </w:tr>
      <w:tr>
        <w:tc>
          <w:tcPr>
            <w:tcW w:type="dxa" w:w="1300"/>
            <w:shd w:fill="FFFFFF" w:val="clear"/>
          </w:tcPr>
          <w:p>
            <w:r>
              <w:rPr>
                <w:color w:val="222222"/>
                <w:sz w:val="19"/>
                <w:szCs w:val="19"/>
              </w:rPr>
              <w:t xml:space="preserve">SOM</w:t>
            </w:r>
          </w:p>
        </w:tc>
        <w:tc>
          <w:tcPr>
            <w:tcW w:type="dxa" w:w="2800"/>
            <w:shd w:fill="FFFFFF" w:val="clear"/>
          </w:tcPr>
          <w:p>
            <w:r>
              <w:rPr>
                <w:color w:val="222222"/>
                <w:sz w:val="19"/>
                <w:szCs w:val="19"/>
              </w:rPr>
              <w:t xml:space="preserve">Realistic Year 1 capture: 2–3 Ghaziabad wards</w:t>
            </w:r>
          </w:p>
        </w:tc>
        <w:tc>
          <w:tcPr>
            <w:tcW w:type="dxa" w:w="2900"/>
            <w:shd w:fill="FFFFFF" w:val="clear"/>
          </w:tcPr>
          <w:p>
            <w:r>
              <w:rPr>
                <w:color w:val="222222"/>
                <w:sz w:val="19"/>
                <w:szCs w:val="19"/>
              </w:rPr>
              <w:t xml:space="preserve">~750–2,000 households; tonnage to be confirmed by pilot baseline audit</w:t>
            </w:r>
          </w:p>
        </w:tc>
        <w:tc>
          <w:tcPr>
            <w:tcW w:type="dxa" w:w="2350"/>
            <w:shd w:fill="FFFFFF" w:val="clear"/>
          </w:tcPr>
          <w:p>
            <w:r>
              <w:rPr>
                <w:color w:val="222222"/>
                <w:sz w:val="19"/>
                <w:szCs w:val="19"/>
              </w:rPr>
              <w:t xml:space="preserve">Pilot scope, Section 8</w:t>
            </w:r>
          </w:p>
        </w:tc>
      </w:tr>
    </w:tbl>
    <w:p>
      <w:pPr>
        <w:pBdr>
          <w:left w:val="single" w:color="C99A2E" w:sz="12" w:space="8"/>
        </w:pBdr>
        <w:shd w:fill="FFF7E0" w:val="clear"/>
        <w:spacing w:after="200" w:before="100"/>
      </w:pPr>
      <w:r>
        <w:rPr>
          <w:i/>
          <w:iCs/>
          <w:color w:val="6B5B10"/>
          <w:sz w:val="20"/>
          <w:szCs w:val="20"/>
        </w:rPr>
        <w:t xml:space="preserve">The SAM and precise SOM tonnage are intentionally left as 'to be sized' rather than filled with an invented number. A financier will trust a placeholder backed by a stated method — a ward-level waste audit in the first 30 days — far more than a confident-looking figure with no source.</w:t>
      </w:r>
    </w:p>
    <w:p>
      <w:pPr>
        <w:pStyle w:val="Heading2"/>
        <w:spacing w:after="150" w:before="300"/>
      </w:pPr>
      <w:r>
        <w:rPr>
          <w:b/>
          <w:bCs/>
          <w:color w:val="2E7D32"/>
          <w:sz w:val="24"/>
          <w:szCs w:val="24"/>
        </w:rPr>
        <w:t xml:space="preserve">4.4 Target customer segments</w:t>
      </w:r>
    </w:p>
    <w:p>
      <w:pPr>
        <w:pStyle w:val="ListParagraph"/>
        <w:numPr>
          <w:ilvl w:val="0"/>
          <w:numId w:val="2"/>
        </w:numPr>
        <w:spacing w:after="90"/>
      </w:pPr>
      <w:r>
        <w:rPr>
          <w:color w:val="222222"/>
          <w:sz w:val="21"/>
          <w:szCs w:val="21"/>
        </w:rPr>
        <w:t xml:space="preserve">Primary (Phase 1): Urban households in mixed-income residential wards of Ghaziabad currently served by informal or inconsistent collection.</w:t>
      </w:r>
    </w:p>
    <w:p>
      <w:pPr>
        <w:pStyle w:val="ListParagraph"/>
        <w:numPr>
          <w:ilvl w:val="0"/>
          <w:numId w:val="2"/>
        </w:numPr>
        <w:spacing w:after="90"/>
      </w:pPr>
      <w:r>
        <w:rPr>
          <w:color w:val="222222"/>
          <w:sz w:val="21"/>
          <w:szCs w:val="21"/>
        </w:rPr>
        <w:t xml:space="preserve">Secondary (Phase 2): Small commercial generators — shops, small offices, eateries — within pilot wards, who generate more predictable, higher-volume waste streams.</w:t>
      </w:r>
    </w:p>
    <w:p>
      <w:pPr>
        <w:pStyle w:val="ListParagraph"/>
        <w:numPr>
          <w:ilvl w:val="0"/>
          <w:numId w:val="2"/>
        </w:numPr>
        <w:spacing w:after="90"/>
      </w:pPr>
      <w:r>
        <w:rPr>
          <w:color w:val="222222"/>
          <w:sz w:val="21"/>
          <w:szCs w:val="21"/>
        </w:rPr>
        <w:t xml:space="preserve">Tertiary (Phase 3): The Ghaziabad Municipal Corporation itself, as a contracting partner once pilot data exists to support a formal collection agreement or MoU.</w:t>
      </w:r>
    </w:p>
    <w:p>
      <w:r>
        <w:br w:type="page"/>
      </w:r>
    </w:p>
    <w:p>
      <w:pPr>
        <w:pStyle w:val="Heading1"/>
        <w:spacing w:after="200" w:before="420"/>
      </w:pPr>
      <w:r>
        <w:rPr>
          <w:b/>
          <w:bCs/>
          <w:color w:val="1F3B4D"/>
          <w:sz w:val="30"/>
          <w:szCs w:val="30"/>
        </w:rPr>
        <w:t xml:space="preserve">5. The Swachta Solution</w:t>
      </w:r>
    </w:p>
    <w:p>
      <w:pPr>
        <w:pStyle w:val="Heading2"/>
        <w:spacing w:after="150" w:before="300"/>
      </w:pPr>
      <w:r>
        <w:rPr>
          <w:b/>
          <w:bCs/>
          <w:color w:val="2E7D32"/>
          <w:sz w:val="24"/>
          <w:szCs w:val="24"/>
        </w:rPr>
        <w:t xml:space="preserve">5.1 Product overview</w:t>
      </w:r>
    </w:p>
    <w:p>
      <w:pPr>
        <w:spacing w:after="160" w:line="276"/>
      </w:pPr>
      <w:r>
        <w:rPr>
          <w:color w:val="222222"/>
          <w:sz w:val="21"/>
          <w:szCs w:val="21"/>
        </w:rPr>
        <w:t xml:space="preserve">Swachta is a three-part system built around one operating principle: nothing is claimed that cannot be verified. Segregation, collection, and downstream sale are each logged at the point they happen, not estimated after the fact.</w:t>
      </w:r>
    </w:p>
    <w:p>
      <w:pPr>
        <w:pStyle w:val="Heading3"/>
        <w:spacing w:after="110" w:before="220"/>
      </w:pPr>
      <w:r>
        <w:rPr>
          <w:b/>
          <w:bCs/>
          <w:i/>
          <w:iCs/>
          <w:color w:val="1F3B4D"/>
          <w:sz w:val="21"/>
          <w:szCs w:val="21"/>
        </w:rPr>
        <w:t xml:space="preserve">5.1.1 Requestor App (household / small business facing)</w:t>
      </w:r>
    </w:p>
    <w:p>
      <w:pPr>
        <w:pStyle w:val="ListParagraph"/>
        <w:numPr>
          <w:ilvl w:val="0"/>
          <w:numId w:val="2"/>
        </w:numPr>
        <w:spacing w:after="90"/>
      </w:pPr>
      <w:r>
        <w:rPr>
          <w:color w:val="222222"/>
          <w:sz w:val="21"/>
          <w:szCs w:val="21"/>
        </w:rPr>
        <w:t xml:space="preserve">Schedule segregated pickup (wet / dry / reject) by day and time window.</w:t>
      </w:r>
    </w:p>
    <w:p>
      <w:pPr>
        <w:pStyle w:val="ListParagraph"/>
        <w:numPr>
          <w:ilvl w:val="0"/>
          <w:numId w:val="2"/>
        </w:numPr>
        <w:spacing w:after="90"/>
      </w:pPr>
      <w:r>
        <w:rPr>
          <w:color w:val="222222"/>
          <w:sz w:val="21"/>
          <w:szCs w:val="21"/>
        </w:rPr>
        <w:t xml:space="preserve">Transparent, published fee structure — no informal cash negotiation.</w:t>
      </w:r>
    </w:p>
    <w:p>
      <w:pPr>
        <w:pStyle w:val="ListParagraph"/>
        <w:numPr>
          <w:ilvl w:val="0"/>
          <w:numId w:val="2"/>
        </w:numPr>
        <w:spacing w:after="90"/>
      </w:pPr>
      <w:r>
        <w:rPr>
          <w:color w:val="222222"/>
          <w:sz w:val="21"/>
          <w:szCs w:val="21"/>
        </w:rPr>
        <w:t xml:space="preserve">Visibility into where the household's waste goes: composting batch, recycler, or RDF aggregation — closing the feedback loop that today's system lacks.</w:t>
      </w:r>
    </w:p>
    <w:p>
      <w:pPr>
        <w:pStyle w:val="ListParagraph"/>
        <w:numPr>
          <w:ilvl w:val="0"/>
          <w:numId w:val="2"/>
        </w:numPr>
        <w:spacing w:after="90"/>
      </w:pPr>
      <w:r>
        <w:rPr>
          <w:color w:val="222222"/>
          <w:sz w:val="21"/>
          <w:szCs w:val="21"/>
        </w:rPr>
        <w:t xml:space="preserve">Simple segregation guidance and reminders, localised in Hindi and English.</w:t>
      </w:r>
    </w:p>
    <w:p>
      <w:pPr>
        <w:pStyle w:val="Heading3"/>
        <w:spacing w:after="110" w:before="220"/>
      </w:pPr>
      <w:r>
        <w:rPr>
          <w:b/>
          <w:bCs/>
          <w:i/>
          <w:iCs/>
          <w:color w:val="1F3B4D"/>
          <w:sz w:val="21"/>
          <w:szCs w:val="21"/>
        </w:rPr>
        <w:t xml:space="preserve">5.1.2 Collector / Worker App</w:t>
      </w:r>
    </w:p>
    <w:p>
      <w:pPr>
        <w:pStyle w:val="ListParagraph"/>
        <w:numPr>
          <w:ilvl w:val="0"/>
          <w:numId w:val="2"/>
        </w:numPr>
        <w:spacing w:after="90"/>
      </w:pPr>
      <w:r>
        <w:rPr>
          <w:color w:val="222222"/>
          <w:sz w:val="21"/>
          <w:szCs w:val="21"/>
        </w:rPr>
        <w:t xml:space="preserve">Optimised daily collection routes by ward and zone.</w:t>
      </w:r>
    </w:p>
    <w:p>
      <w:pPr>
        <w:pStyle w:val="ListParagraph"/>
        <w:numPr>
          <w:ilvl w:val="0"/>
          <w:numId w:val="2"/>
        </w:numPr>
        <w:spacing w:after="90"/>
      </w:pPr>
      <w:r>
        <w:rPr>
          <w:color w:val="222222"/>
          <w:sz w:val="21"/>
          <w:szCs w:val="21"/>
        </w:rPr>
        <w:t xml:space="preserve">Photo and weight logging at each pickup to verify segregation quality — the single data point the entire downstream model depends on.</w:t>
      </w:r>
    </w:p>
    <w:p>
      <w:pPr>
        <w:pStyle w:val="ListParagraph"/>
        <w:numPr>
          <w:ilvl w:val="0"/>
          <w:numId w:val="2"/>
        </w:numPr>
        <w:spacing w:after="90"/>
      </w:pPr>
      <w:r>
        <w:rPr>
          <w:color w:val="222222"/>
          <w:sz w:val="21"/>
          <w:szCs w:val="21"/>
        </w:rPr>
        <w:t xml:space="preserve">Transparent earnings tracking tied to verified stops completed, not just hours worked.</w:t>
      </w:r>
    </w:p>
    <w:p>
      <w:pPr>
        <w:pStyle w:val="ListParagraph"/>
        <w:numPr>
          <w:ilvl w:val="0"/>
          <w:numId w:val="2"/>
        </w:numPr>
        <w:spacing w:after="90"/>
      </w:pPr>
      <w:r>
        <w:rPr>
          <w:color w:val="222222"/>
          <w:sz w:val="21"/>
          <w:szCs w:val="21"/>
        </w:rPr>
        <w:t xml:space="preserve">Safety-incident reporting and access to protective equipment requests.</w:t>
      </w:r>
    </w:p>
    <w:p>
      <w:pPr>
        <w:pStyle w:val="Heading3"/>
        <w:spacing w:after="110" w:before="220"/>
      </w:pPr>
      <w:r>
        <w:rPr>
          <w:b/>
          <w:bCs/>
          <w:i/>
          <w:iCs/>
          <w:color w:val="1F3B4D"/>
          <w:sz w:val="21"/>
          <w:szCs w:val="21"/>
        </w:rPr>
        <w:t xml:space="preserve">5.1.3 Sorting &amp; Aggregation Hub</w:t>
      </w:r>
    </w:p>
    <w:p>
      <w:pPr>
        <w:pStyle w:val="ListParagraph"/>
        <w:numPr>
          <w:ilvl w:val="0"/>
          <w:numId w:val="2"/>
        </w:numPr>
        <w:spacing w:after="90"/>
      </w:pPr>
      <w:r>
        <w:rPr>
          <w:color w:val="222222"/>
          <w:sz w:val="21"/>
          <w:szCs w:val="21"/>
        </w:rPr>
        <w:t xml:space="preserve">Ward-level or multi-ward physical aggregation point where collected, segregated waste is consolidated by stream.</w:t>
      </w:r>
    </w:p>
    <w:p>
      <w:pPr>
        <w:pStyle w:val="ListParagraph"/>
        <w:numPr>
          <w:ilvl w:val="0"/>
          <w:numId w:val="2"/>
        </w:numPr>
        <w:spacing w:after="90"/>
      </w:pPr>
      <w:r>
        <w:rPr>
          <w:color w:val="222222"/>
          <w:sz w:val="21"/>
          <w:szCs w:val="21"/>
        </w:rPr>
        <w:t xml:space="preserve">Quality-checked before onward sale — protecting the integrity of Swachta's core promise to downstream buyers.</w:t>
      </w:r>
    </w:p>
    <w:p>
      <w:pPr>
        <w:pStyle w:val="ListParagraph"/>
        <w:numPr>
          <w:ilvl w:val="0"/>
          <w:numId w:val="2"/>
        </w:numPr>
        <w:spacing w:after="90"/>
      </w:pPr>
      <w:r>
        <w:rPr>
          <w:color w:val="222222"/>
          <w:sz w:val="21"/>
          <w:szCs w:val="21"/>
        </w:rPr>
        <w:t xml:space="preserve">Routes each stream to the appropriate buyer: composting/biomethanation partner, recycler, or RDF processor (see Section 6).</w:t>
      </w:r>
    </w:p>
    <w:p>
      <w:pPr>
        <w:pStyle w:val="Heading2"/>
        <w:spacing w:after="150" w:before="300"/>
      </w:pPr>
      <w:r>
        <w:rPr>
          <w:b/>
          <w:bCs/>
          <w:color w:val="2E7D32"/>
          <w:sz w:val="24"/>
          <w:szCs w:val="24"/>
        </w:rPr>
        <w:t xml:space="preserve">5.2 The commercial insight</w:t>
      </w:r>
    </w:p>
    <w:p>
      <w:pPr>
        <w:spacing w:after="160" w:line="276"/>
      </w:pPr>
      <w:r>
        <w:rPr>
          <w:color w:val="222222"/>
          <w:sz w:val="21"/>
          <w:szCs w:val="21"/>
        </w:rPr>
        <w:t xml:space="preserve">Swachta does not need to own processing infrastructure to capture value. It needs to own the segregation and traceability layer — the part of the chain that is demonstrably broken today — and become the reliable supply partner that recyclers, composters, biogas operators, and RDF buyers cannot get from an unsegregated municipal stream. This is a materially lower-capital, faster-to-prove business than owning conversion infrastructure, and it is the version of the business this plan is built around.</w:t>
      </w:r>
    </w:p>
    <w:p>
      <w:pPr>
        <w:pStyle w:val="Heading2"/>
        <w:spacing w:after="150" w:before="300"/>
      </w:pPr>
      <w:r>
        <w:rPr>
          <w:b/>
          <w:bCs/>
          <w:color w:val="2E7D32"/>
          <w:sz w:val="24"/>
          <w:szCs w:val="24"/>
        </w:rPr>
        <w:t xml:space="preserve">5.3 Why this, why now</w:t>
      </w:r>
    </w:p>
    <w:p>
      <w:pPr>
        <w:pStyle w:val="ListParagraph"/>
        <w:numPr>
          <w:ilvl w:val="0"/>
          <w:numId w:val="2"/>
        </w:numPr>
        <w:spacing w:after="90"/>
      </w:pPr>
      <w:r>
        <w:rPr>
          <w:color w:val="222222"/>
          <w:sz w:val="21"/>
          <w:szCs w:val="21"/>
        </w:rPr>
        <w:t xml:space="preserve">New source-segregation mandates under the revised SWM Rules (effective October 2025) create direct policy pressure that Swachta's product answers.</w:t>
      </w:r>
    </w:p>
    <w:p>
      <w:pPr>
        <w:pStyle w:val="ListParagraph"/>
        <w:numPr>
          <w:ilvl w:val="0"/>
          <w:numId w:val="2"/>
        </w:numPr>
        <w:spacing w:after="90"/>
      </w:pPr>
      <w:r>
        <w:rPr>
          <w:color w:val="222222"/>
          <w:sz w:val="21"/>
          <w:szCs w:val="21"/>
        </w:rPr>
        <w:t xml:space="preserve">Capital is actively flowing into Indian circular-economy ventures ($203M+ in 2024 alone), evidencing investor appetite for this category.</w:t>
      </w:r>
    </w:p>
    <w:p>
      <w:pPr>
        <w:pStyle w:val="ListParagraph"/>
        <w:numPr>
          <w:ilvl w:val="0"/>
          <w:numId w:val="2"/>
        </w:numPr>
        <w:spacing w:after="90"/>
      </w:pPr>
      <w:r>
        <w:rPr>
          <w:color w:val="222222"/>
          <w:sz w:val="21"/>
          <w:szCs w:val="21"/>
        </w:rPr>
        <w:t xml:space="preserve">Smartphone-based verification is now operationally viable even for gig-economy collection workforces, which was not reliably true a decade ago.</w:t>
      </w:r>
    </w:p>
    <w:p>
      <w:r>
        <w:br w:type="page"/>
      </w:r>
    </w:p>
    <w:p>
      <w:pPr>
        <w:pStyle w:val="Heading1"/>
        <w:spacing w:after="200" w:before="420"/>
      </w:pPr>
      <w:r>
        <w:rPr>
          <w:b/>
          <w:bCs/>
          <w:color w:val="1F3B4D"/>
          <w:sz w:val="30"/>
          <w:szCs w:val="30"/>
        </w:rPr>
        <w:t xml:space="preserve">6. Technical Approach: From Waste to Value</w:t>
      </w:r>
    </w:p>
    <w:p>
      <w:pPr>
        <w:spacing w:after="160" w:line="276"/>
      </w:pPr>
      <w:r>
        <w:rPr>
          <w:color w:val="222222"/>
          <w:sz w:val="21"/>
          <w:szCs w:val="21"/>
        </w:rPr>
        <w:t xml:space="preserve">This section is deliberately conservative: each pathway is chosen because it matches Swachta's actual capital position as an early-stage, asset-light operator, not because it is the most impressive-sounding option. Where a step requires a capital partner rather than Swachta's own balance sheet, that is stated explicitly.</w:t>
      </w:r>
    </w:p>
    <w:p>
      <w:pPr>
        <w:pStyle w:val="Heading2"/>
        <w:spacing w:after="150" w:before="300"/>
      </w:pPr>
      <w:r>
        <w:rPr>
          <w:b/>
          <w:bCs/>
          <w:color w:val="2E7D32"/>
          <w:sz w:val="24"/>
          <w:szCs w:val="24"/>
        </w:rPr>
        <w:t xml:space="preserve">6.1 Waste stream composition (typical Indian MSW, by weight)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350"/>
        <w:gridCol w:w="3800"/>
      </w:tblGrid>
      <w:tr>
        <w:trPr>
          <w:tblHeader/>
        </w:trPr>
        <w:tc>
          <w:tcPr>
            <w:tcW w:type="dxa" w:w="3200"/>
            <w:shd w:fill="1F3B4D" w:val="clear"/>
          </w:tcPr>
          <w:p>
            <w:r>
              <w:rPr>
                <w:b/>
                <w:bCs/>
                <w:color w:val="FFFFFF"/>
                <w:sz w:val="19"/>
                <w:szCs w:val="19"/>
              </w:rPr>
              <w:t xml:space="preserve">Stream</w:t>
            </w:r>
          </w:p>
        </w:tc>
        <w:tc>
          <w:tcPr>
            <w:tcW w:type="dxa" w:w="2350"/>
            <w:shd w:fill="1F3B4D" w:val="clear"/>
          </w:tcPr>
          <w:p>
            <w:r>
              <w:rPr>
                <w:b/>
                <w:bCs/>
                <w:color w:val="FFFFFF"/>
                <w:sz w:val="19"/>
                <w:szCs w:val="19"/>
              </w:rPr>
              <w:t xml:space="preserve">Approx. share of MSW</w:t>
            </w:r>
          </w:p>
        </w:tc>
        <w:tc>
          <w:tcPr>
            <w:tcW w:type="dxa" w:w="3800"/>
            <w:shd w:fill="1F3B4D" w:val="clear"/>
          </w:tcPr>
          <w:p>
            <w:r>
              <w:rPr>
                <w:b/>
                <w:bCs/>
                <w:color w:val="FFFFFF"/>
                <w:sz w:val="19"/>
                <w:szCs w:val="19"/>
              </w:rPr>
              <w:t xml:space="preserve">Swachta pathway</w:t>
            </w:r>
          </w:p>
        </w:tc>
      </w:tr>
      <w:tr>
        <w:tc>
          <w:tcPr>
            <w:tcW w:type="dxa" w:w="3200"/>
            <w:shd w:fill="FFFFFF" w:val="clear"/>
          </w:tcPr>
          <w:p>
            <w:r>
              <w:rPr>
                <w:color w:val="222222"/>
                <w:sz w:val="19"/>
                <w:szCs w:val="19"/>
              </w:rPr>
              <w:t xml:space="preserve">Wet / organic waste</w:t>
            </w:r>
          </w:p>
        </w:tc>
        <w:tc>
          <w:tcPr>
            <w:tcW w:type="dxa" w:w="2350"/>
            <w:shd w:fill="FFFFFF" w:val="clear"/>
          </w:tcPr>
          <w:p>
            <w:r>
              <w:rPr>
                <w:color w:val="222222"/>
                <w:sz w:val="19"/>
                <w:szCs w:val="19"/>
              </w:rPr>
              <w:t xml:space="preserve">50–60%</w:t>
            </w:r>
          </w:p>
        </w:tc>
        <w:tc>
          <w:tcPr>
            <w:tcW w:type="dxa" w:w="3800"/>
            <w:shd w:fill="FFFFFF" w:val="clear"/>
          </w:tcPr>
          <w:p>
            <w:r>
              <w:rPr>
                <w:color w:val="222222"/>
                <w:sz w:val="19"/>
                <w:szCs w:val="19"/>
              </w:rPr>
              <w:t xml:space="preserve">Composting (Phase 1); decentralized biomethanation (Phase 2, capital-partner led)</w:t>
            </w:r>
          </w:p>
        </w:tc>
      </w:tr>
      <w:tr>
        <w:tc>
          <w:tcPr>
            <w:tcW w:type="dxa" w:w="3200"/>
            <w:shd w:fill="F2F2F2" w:val="clear"/>
          </w:tcPr>
          <w:p>
            <w:r>
              <w:rPr>
                <w:color w:val="222222"/>
                <w:sz w:val="19"/>
                <w:szCs w:val="19"/>
              </w:rPr>
              <w:t xml:space="preserve">Dry recyclables (paper, plastic, metal, glass)</w:t>
            </w:r>
          </w:p>
        </w:tc>
        <w:tc>
          <w:tcPr>
            <w:tcW w:type="dxa" w:w="2350"/>
            <w:shd w:fill="F2F2F2" w:val="clear"/>
          </w:tcPr>
          <w:p>
            <w:r>
              <w:rPr>
                <w:color w:val="222222"/>
                <w:sz w:val="19"/>
                <w:szCs w:val="19"/>
              </w:rPr>
              <w:t xml:space="preserve">20–25%</w:t>
            </w:r>
          </w:p>
        </w:tc>
        <w:tc>
          <w:tcPr>
            <w:tcW w:type="dxa" w:w="3800"/>
            <w:shd w:fill="F2F2F2" w:val="clear"/>
          </w:tcPr>
          <w:p>
            <w:r>
              <w:rPr>
                <w:color w:val="222222"/>
                <w:sz w:val="19"/>
                <w:szCs w:val="19"/>
              </w:rPr>
              <w:t xml:space="preserve">Sorted and sold to existing recycler networks</w:t>
            </w:r>
          </w:p>
        </w:tc>
      </w:tr>
      <w:tr>
        <w:tc>
          <w:tcPr>
            <w:tcW w:type="dxa" w:w="3200"/>
            <w:shd w:fill="FFFFFF" w:val="clear"/>
          </w:tcPr>
          <w:p>
            <w:r>
              <w:rPr>
                <w:color w:val="222222"/>
                <w:sz w:val="19"/>
                <w:szCs w:val="19"/>
              </w:rPr>
              <w:t xml:space="preserve">Non-recyclable dry waste</w:t>
            </w:r>
          </w:p>
        </w:tc>
        <w:tc>
          <w:tcPr>
            <w:tcW w:type="dxa" w:w="2350"/>
            <w:shd w:fill="FFFFFF" w:val="clear"/>
          </w:tcPr>
          <w:p>
            <w:r>
              <w:rPr>
                <w:color w:val="222222"/>
                <w:sz w:val="19"/>
                <w:szCs w:val="19"/>
              </w:rPr>
              <w:t xml:space="preserve">10–15%</w:t>
            </w:r>
          </w:p>
        </w:tc>
        <w:tc>
          <w:tcPr>
            <w:tcW w:type="dxa" w:w="3800"/>
            <w:shd w:fill="FFFFFF" w:val="clear"/>
          </w:tcPr>
          <w:p>
            <w:r>
              <w:rPr>
                <w:color w:val="222222"/>
                <w:sz w:val="19"/>
                <w:szCs w:val="19"/>
              </w:rPr>
              <w:t xml:space="preserve">Shredded/baled into RDF, sold to cement kilns / WtE operators</w:t>
            </w:r>
          </w:p>
        </w:tc>
      </w:tr>
      <w:tr>
        <w:tc>
          <w:tcPr>
            <w:tcW w:type="dxa" w:w="3200"/>
            <w:shd w:fill="F2F2F2" w:val="clear"/>
          </w:tcPr>
          <w:p>
            <w:r>
              <w:rPr>
                <w:color w:val="222222"/>
                <w:sz w:val="19"/>
                <w:szCs w:val="19"/>
              </w:rPr>
              <w:t xml:space="preserve">E-waste and hazardous waste</w:t>
            </w:r>
          </w:p>
        </w:tc>
        <w:tc>
          <w:tcPr>
            <w:tcW w:type="dxa" w:w="2350"/>
            <w:shd w:fill="F2F2F2" w:val="clear"/>
          </w:tcPr>
          <w:p>
            <w:r>
              <w:rPr>
                <w:color w:val="222222"/>
                <w:sz w:val="19"/>
                <w:szCs w:val="19"/>
              </w:rPr>
              <w:t xml:space="preserve">small but high-liability share</w:t>
            </w:r>
          </w:p>
        </w:tc>
        <w:tc>
          <w:tcPr>
            <w:tcW w:type="dxa" w:w="3800"/>
            <w:shd w:fill="F2F2F2" w:val="clear"/>
          </w:tcPr>
          <w:p>
            <w:r>
              <w:rPr>
                <w:color w:val="222222"/>
                <w:sz w:val="19"/>
                <w:szCs w:val="19"/>
              </w:rPr>
              <w:t xml:space="preserve">Not processed by Swachta — handed to licensed specialist recyclers</w:t>
            </w:r>
          </w:p>
        </w:tc>
      </w:tr>
    </w:tbl>
    <w:p>
      <w:pPr>
        <w:pStyle w:val="Heading2"/>
        <w:spacing w:after="150" w:before="300"/>
      </w:pPr>
      <w:r>
        <w:rPr>
          <w:b/>
          <w:bCs/>
          <w:color w:val="2E7D32"/>
          <w:sz w:val="24"/>
          <w:szCs w:val="24"/>
        </w:rPr>
        <w:t xml:space="preserve">6.2 Stream 1 — Wet / organic waste</w:t>
      </w:r>
    </w:p>
    <w:p>
      <w:pPr>
        <w:pStyle w:val="ListParagraph"/>
        <w:numPr>
          <w:ilvl w:val="0"/>
          <w:numId w:val="2"/>
        </w:numPr>
        <w:spacing w:after="90"/>
      </w:pPr>
      <w:r>
        <w:rPr>
          <w:color w:val="222222"/>
          <w:sz w:val="21"/>
          <w:szCs w:val="21"/>
        </w:rPr>
        <w:t xml:space="preserve">Source segregation verified via photo-logging at the point of pickup, keeping contamination low before it ever reaches the hub.</w:t>
      </w:r>
    </w:p>
    <w:p>
      <w:pPr>
        <w:pStyle w:val="ListParagraph"/>
        <w:numPr>
          <w:ilvl w:val="0"/>
          <w:numId w:val="2"/>
        </w:numPr>
        <w:spacing w:after="90"/>
      </w:pPr>
      <w:r>
        <w:rPr>
          <w:color w:val="222222"/>
          <w:sz w:val="21"/>
          <w:szCs w:val="21"/>
        </w:rPr>
        <w:t xml:space="preserve">Phase 1 — decentralized aerobic composting: ward or society-level composting units (low capex, an operationally proven model at RWA and municipal scale in India). Output sold as organic fertiliser to local farms and nurseries within the NCR belt.</w:t>
      </w:r>
    </w:p>
    <w:p>
      <w:pPr>
        <w:pStyle w:val="ListParagraph"/>
        <w:numPr>
          <w:ilvl w:val="0"/>
          <w:numId w:val="2"/>
        </w:numPr>
        <w:spacing w:after="90"/>
      </w:pPr>
      <w:r>
        <w:rPr>
          <w:color w:val="222222"/>
          <w:sz w:val="21"/>
          <w:szCs w:val="21"/>
        </w:rPr>
        <w:t xml:space="preserve">Phase 2 — decentralized biomethanation (not in pilot scope): once daily wet-waste volume in a zone is consistent and predictable — something only the pilot can demonstrate — a decentralized biogas plant (the technology deployed by established players such as GPS Renewables) can convert wet waste into biogas for cooking fuel or power generation, with digestate sold onward as fertiliser. This requires a capital partner or ULB co-investment; Swachta's role is guaranteeing feedstock volume and quality, not owning the plant.</w:t>
      </w:r>
    </w:p>
    <w:p>
      <w:pPr>
        <w:pStyle w:val="Heading2"/>
        <w:spacing w:after="150" w:before="300"/>
      </w:pPr>
      <w:r>
        <w:rPr>
          <w:b/>
          <w:bCs/>
          <w:color w:val="2E7D32"/>
          <w:sz w:val="24"/>
          <w:szCs w:val="24"/>
        </w:rPr>
        <w:t xml:space="preserve">6.3 Stream 2 — Dry recyclables</w:t>
      </w:r>
    </w:p>
    <w:p>
      <w:pPr>
        <w:pStyle w:val="ListParagraph"/>
        <w:numPr>
          <w:ilvl w:val="0"/>
          <w:numId w:val="2"/>
        </w:numPr>
        <w:spacing w:after="90"/>
      </w:pPr>
      <w:r>
        <w:rPr>
          <w:color w:val="222222"/>
          <w:sz w:val="21"/>
          <w:szCs w:val="21"/>
        </w:rPr>
        <w:t xml:space="preserve">Sorted by material category (paper, plastic type, metal, glass) at the aggregation hub by trained sorting staff.</w:t>
      </w:r>
    </w:p>
    <w:p>
      <w:pPr>
        <w:pStyle w:val="ListParagraph"/>
        <w:numPr>
          <w:ilvl w:val="0"/>
          <w:numId w:val="2"/>
        </w:numPr>
        <w:spacing w:after="90"/>
      </w:pPr>
      <w:r>
        <w:rPr>
          <w:color w:val="222222"/>
          <w:sz w:val="21"/>
          <w:szCs w:val="21"/>
        </w:rPr>
        <w:t xml:space="preserve">Sold directly to existing recycler networks and organised scrap aggregators already active in the NCR region — Swachta does not need to build recycling capacity, only reliable, quality-verified supply.</w:t>
      </w:r>
    </w:p>
    <w:p>
      <w:pPr>
        <w:pStyle w:val="ListParagraph"/>
        <w:numPr>
          <w:ilvl w:val="0"/>
          <w:numId w:val="2"/>
        </w:numPr>
        <w:spacing w:after="90"/>
      </w:pPr>
      <w:r>
        <w:rPr>
          <w:color w:val="222222"/>
          <w:sz w:val="21"/>
          <w:szCs w:val="21"/>
        </w:rPr>
        <w:t xml:space="preserve">Pricing benchmarked against prevailing scrap-market rates, revisited monthly given commodity price volatility.</w:t>
      </w:r>
    </w:p>
    <w:p>
      <w:pPr>
        <w:pStyle w:val="Heading2"/>
        <w:spacing w:after="150" w:before="300"/>
      </w:pPr>
      <w:r>
        <w:rPr>
          <w:b/>
          <w:bCs/>
          <w:color w:val="2E7D32"/>
          <w:sz w:val="24"/>
          <w:szCs w:val="24"/>
        </w:rPr>
        <w:t xml:space="preserve">6.4 Stream 3 — Non-recyclable dry waste / RDF</w:t>
      </w:r>
    </w:p>
    <w:p>
      <w:pPr>
        <w:pStyle w:val="ListParagraph"/>
        <w:numPr>
          <w:ilvl w:val="0"/>
          <w:numId w:val="2"/>
        </w:numPr>
        <w:spacing w:after="90"/>
      </w:pPr>
      <w:r>
        <w:rPr>
          <w:color w:val="222222"/>
          <w:sz w:val="21"/>
          <w:szCs w:val="21"/>
        </w:rPr>
        <w:t xml:space="preserve">Low-value, non-recyclable dry waste (soiled plastic, multilayer packaging, textile scraps) is shredded and baled into Refuse-Derived Fuel at the hub.</w:t>
      </w:r>
    </w:p>
    <w:p>
      <w:pPr>
        <w:pStyle w:val="ListParagraph"/>
        <w:numPr>
          <w:ilvl w:val="0"/>
          <w:numId w:val="2"/>
        </w:numPr>
        <w:spacing w:after="90"/>
      </w:pPr>
      <w:r>
        <w:rPr>
          <w:color w:val="222222"/>
          <w:sz w:val="21"/>
          <w:szCs w:val="21"/>
        </w:rPr>
        <w:t xml:space="preserve">RDF is sold to cement kilns and existing waste-to-energy facilities as an alternative fuel source — an established, comparatively low-capex offtake model already used across Indian SWM contracts, and the closest Swachta gets to 'energy conversion' without owning WtE infrastructure.</w:t>
      </w:r>
    </w:p>
    <w:p>
      <w:pPr>
        <w:pStyle w:val="Heading2"/>
        <w:spacing w:after="150" w:before="300"/>
      </w:pPr>
      <w:r>
        <w:rPr>
          <w:b/>
          <w:bCs/>
          <w:color w:val="2E7D32"/>
          <w:sz w:val="24"/>
          <w:szCs w:val="24"/>
        </w:rPr>
        <w:t xml:space="preserve">6.5 Stream 4 — E-waste and hazardous waste</w:t>
      </w:r>
    </w:p>
    <w:p>
      <w:pPr>
        <w:pStyle w:val="ListParagraph"/>
        <w:numPr>
          <w:ilvl w:val="0"/>
          <w:numId w:val="2"/>
        </w:numPr>
        <w:spacing w:after="90"/>
      </w:pPr>
      <w:r>
        <w:rPr>
          <w:color w:val="222222"/>
          <w:sz w:val="21"/>
          <w:szCs w:val="21"/>
        </w:rPr>
        <w:t xml:space="preserve">Collected separately when encountered, but not processed by Swachta at all.</w:t>
      </w:r>
    </w:p>
    <w:p>
      <w:pPr>
        <w:pStyle w:val="ListParagraph"/>
        <w:numPr>
          <w:ilvl w:val="0"/>
          <w:numId w:val="2"/>
        </w:numPr>
        <w:spacing w:after="90"/>
      </w:pPr>
      <w:r>
        <w:rPr>
          <w:color w:val="222222"/>
          <w:sz w:val="21"/>
          <w:szCs w:val="21"/>
        </w:rPr>
        <w:t xml:space="preserve">Handed off to licensed specialist recyclers — the e-waste recycling sector in India already has established, better-capitalised players (e.g., Attero) with the regulatory licensing this category requires.</w:t>
      </w:r>
    </w:p>
    <w:p>
      <w:pPr>
        <w:pStyle w:val="ListParagraph"/>
        <w:numPr>
          <w:ilvl w:val="0"/>
          <w:numId w:val="2"/>
        </w:numPr>
        <w:spacing w:after="90"/>
      </w:pPr>
      <w:r>
        <w:rPr>
          <w:color w:val="222222"/>
          <w:sz w:val="21"/>
          <w:szCs w:val="21"/>
        </w:rPr>
        <w:t xml:space="preserve">This keeps Swachta out of a heavily regulated, high-liability category it has no operational reason to enter at this stage.</w:t>
      </w:r>
    </w:p>
    <w:p>
      <w:pPr>
        <w:pStyle w:val="Heading2"/>
        <w:spacing w:after="150" w:before="300"/>
      </w:pPr>
      <w:r>
        <w:rPr>
          <w:b/>
          <w:bCs/>
          <w:color w:val="2E7D32"/>
          <w:sz w:val="24"/>
          <w:szCs w:val="24"/>
        </w:rPr>
        <w:t xml:space="preserve">6.6 Equipment and infrastructure requirements (pilot scale)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50"/>
      </w:tblGrid>
      <w:tr>
        <w:trPr>
          <w:tblHeader/>
        </w:trPr>
        <w:tc>
          <w:tcPr>
            <w:tcW w:type="dxa" w:w="2600"/>
            <w:shd w:fill="1F3B4D" w:val="clear"/>
          </w:tcPr>
          <w:p>
            <w:r>
              <w:rPr>
                <w:b/>
                <w:bCs/>
                <w:color w:val="FFFFFF"/>
                <w:sz w:val="19"/>
                <w:szCs w:val="19"/>
              </w:rPr>
              <w:t xml:space="preserve">Item</w:t>
            </w:r>
          </w:p>
        </w:tc>
        <w:tc>
          <w:tcPr>
            <w:tcW w:type="dxa" w:w="3900"/>
            <w:shd w:fill="1F3B4D" w:val="clear"/>
          </w:tcPr>
          <w:p>
            <w:r>
              <w:rPr>
                <w:b/>
                <w:bCs/>
                <w:color w:val="FFFFFF"/>
                <w:sz w:val="19"/>
                <w:szCs w:val="19"/>
              </w:rPr>
              <w:t xml:space="preserve">Purpose</w:t>
            </w:r>
          </w:p>
        </w:tc>
        <w:tc>
          <w:tcPr>
            <w:tcW w:type="dxa" w:w="2850"/>
            <w:shd w:fill="1F3B4D" w:val="clear"/>
          </w:tcPr>
          <w:p>
            <w:r>
              <w:rPr>
                <w:b/>
                <w:bCs/>
                <w:color w:val="FFFFFF"/>
                <w:sz w:val="19"/>
                <w:szCs w:val="19"/>
              </w:rPr>
              <w:t xml:space="preserve">Capital intensity</w:t>
            </w:r>
          </w:p>
        </w:tc>
      </w:tr>
      <w:tr>
        <w:tc>
          <w:tcPr>
            <w:tcW w:type="dxa" w:w="2600"/>
            <w:shd w:fill="FFFFFF" w:val="clear"/>
          </w:tcPr>
          <w:p>
            <w:r>
              <w:rPr>
                <w:color w:val="222222"/>
                <w:sz w:val="19"/>
                <w:szCs w:val="19"/>
              </w:rPr>
              <w:t xml:space="preserve">E-carts / handcarts + collection bins</w:t>
            </w:r>
          </w:p>
        </w:tc>
        <w:tc>
          <w:tcPr>
            <w:tcW w:type="dxa" w:w="3900"/>
            <w:shd w:fill="FFFFFF" w:val="clear"/>
          </w:tcPr>
          <w:p>
            <w:r>
              <w:rPr>
                <w:color w:val="222222"/>
                <w:sz w:val="19"/>
                <w:szCs w:val="19"/>
              </w:rPr>
              <w:t xml:space="preserve">Door-to-door segregated collection</w:t>
            </w:r>
          </w:p>
        </w:tc>
        <w:tc>
          <w:tcPr>
            <w:tcW w:type="dxa" w:w="2850"/>
            <w:shd w:fill="FFFFFF" w:val="clear"/>
          </w:tcPr>
          <w:p>
            <w:r>
              <w:rPr>
                <w:color w:val="222222"/>
                <w:sz w:val="19"/>
                <w:szCs w:val="19"/>
              </w:rPr>
              <w:t xml:space="preserve">Low — within pilot budget</w:t>
            </w:r>
          </w:p>
        </w:tc>
      </w:tr>
      <w:tr>
        <w:tc>
          <w:tcPr>
            <w:tcW w:type="dxa" w:w="2600"/>
            <w:shd w:fill="F2F2F2" w:val="clear"/>
          </w:tcPr>
          <w:p>
            <w:r>
              <w:rPr>
                <w:color w:val="222222"/>
                <w:sz w:val="19"/>
                <w:szCs w:val="19"/>
              </w:rPr>
              <w:t xml:space="preserve">Smartphones for collection workers</w:t>
            </w:r>
          </w:p>
        </w:tc>
        <w:tc>
          <w:tcPr>
            <w:tcW w:type="dxa" w:w="3900"/>
            <w:shd w:fill="F2F2F2" w:val="clear"/>
          </w:tcPr>
          <w:p>
            <w:r>
              <w:rPr>
                <w:color w:val="222222"/>
                <w:sz w:val="19"/>
                <w:szCs w:val="19"/>
              </w:rPr>
              <w:t xml:space="preserve">App-based route + verification logging</w:t>
            </w:r>
          </w:p>
        </w:tc>
        <w:tc>
          <w:tcPr>
            <w:tcW w:type="dxa" w:w="2850"/>
            <w:shd w:fill="F2F2F2" w:val="clear"/>
          </w:tcPr>
          <w:p>
            <w:r>
              <w:rPr>
                <w:color w:val="222222"/>
                <w:sz w:val="19"/>
                <w:szCs w:val="19"/>
              </w:rPr>
              <w:t xml:space="preserve">Low — within pilot budget</w:t>
            </w:r>
          </w:p>
        </w:tc>
      </w:tr>
      <w:tr>
        <w:tc>
          <w:tcPr>
            <w:tcW w:type="dxa" w:w="2600"/>
            <w:shd w:fill="FFFFFF" w:val="clear"/>
          </w:tcPr>
          <w:p>
            <w:r>
              <w:rPr>
                <w:color w:val="222222"/>
                <w:sz w:val="19"/>
                <w:szCs w:val="19"/>
              </w:rPr>
              <w:t xml:space="preserve">Weighing scales at aggregation hub</w:t>
            </w:r>
          </w:p>
        </w:tc>
        <w:tc>
          <w:tcPr>
            <w:tcW w:type="dxa" w:w="3900"/>
            <w:shd w:fill="FFFFFF" w:val="clear"/>
          </w:tcPr>
          <w:p>
            <w:r>
              <w:rPr>
                <w:color w:val="222222"/>
                <w:sz w:val="19"/>
                <w:szCs w:val="19"/>
              </w:rPr>
              <w:t xml:space="preserve">Verified weight logging by stream</w:t>
            </w:r>
          </w:p>
        </w:tc>
        <w:tc>
          <w:tcPr>
            <w:tcW w:type="dxa" w:w="2850"/>
            <w:shd w:fill="FFFFFF" w:val="clear"/>
          </w:tcPr>
          <w:p>
            <w:r>
              <w:rPr>
                <w:color w:val="222222"/>
                <w:sz w:val="19"/>
                <w:szCs w:val="19"/>
              </w:rPr>
              <w:t xml:space="preserve">Low — within pilot budget</w:t>
            </w:r>
          </w:p>
        </w:tc>
      </w:tr>
      <w:tr>
        <w:tc>
          <w:tcPr>
            <w:tcW w:type="dxa" w:w="2600"/>
            <w:shd w:fill="F2F2F2" w:val="clear"/>
          </w:tcPr>
          <w:p>
            <w:r>
              <w:rPr>
                <w:color w:val="222222"/>
                <w:sz w:val="19"/>
                <w:szCs w:val="19"/>
              </w:rPr>
              <w:t xml:space="preserve">Basic shredder/baler for RDF</w:t>
            </w:r>
          </w:p>
        </w:tc>
        <w:tc>
          <w:tcPr>
            <w:tcW w:type="dxa" w:w="3900"/>
            <w:shd w:fill="F2F2F2" w:val="clear"/>
          </w:tcPr>
          <w:p>
            <w:r>
              <w:rPr>
                <w:color w:val="222222"/>
                <w:sz w:val="19"/>
                <w:szCs w:val="19"/>
              </w:rPr>
              <w:t xml:space="preserve">Convert non-recyclable dry waste to sellable RDF bales</w:t>
            </w:r>
          </w:p>
        </w:tc>
        <w:tc>
          <w:tcPr>
            <w:tcW w:type="dxa" w:w="2850"/>
            <w:shd w:fill="F2F2F2" w:val="clear"/>
          </w:tcPr>
          <w:p>
            <w:r>
              <w:rPr>
                <w:color w:val="222222"/>
                <w:sz w:val="19"/>
                <w:szCs w:val="19"/>
              </w:rPr>
              <w:t xml:space="preserve">Moderate — evaluate lease vs. buy after Month 3</w:t>
            </w:r>
          </w:p>
        </w:tc>
      </w:tr>
      <w:tr>
        <w:tc>
          <w:tcPr>
            <w:tcW w:type="dxa" w:w="2600"/>
            <w:shd w:fill="FFFFFF" w:val="clear"/>
          </w:tcPr>
          <w:p>
            <w:r>
              <w:rPr>
                <w:color w:val="222222"/>
                <w:sz w:val="19"/>
                <w:szCs w:val="19"/>
              </w:rPr>
              <w:t xml:space="preserve">Composting unit (ward-level)</w:t>
            </w:r>
          </w:p>
        </w:tc>
        <w:tc>
          <w:tcPr>
            <w:tcW w:type="dxa" w:w="3900"/>
            <w:shd w:fill="FFFFFF" w:val="clear"/>
          </w:tcPr>
          <w:p>
            <w:r>
              <w:rPr>
                <w:color w:val="222222"/>
                <w:sz w:val="19"/>
                <w:szCs w:val="19"/>
              </w:rPr>
              <w:t xml:space="preserve">Process wet waste into saleable compost</w:t>
            </w:r>
          </w:p>
        </w:tc>
        <w:tc>
          <w:tcPr>
            <w:tcW w:type="dxa" w:w="2850"/>
            <w:shd w:fill="FFFFFF" w:val="clear"/>
          </w:tcPr>
          <w:p>
            <w:r>
              <w:rPr>
                <w:color w:val="222222"/>
                <w:sz w:val="19"/>
                <w:szCs w:val="19"/>
              </w:rPr>
              <w:t xml:space="preserve">Moderate — explore ULB or partner co-funding</w:t>
            </w:r>
          </w:p>
        </w:tc>
      </w:tr>
      <w:tr>
        <w:tc>
          <w:tcPr>
            <w:tcW w:type="dxa" w:w="2600"/>
            <w:shd w:fill="F2F2F2" w:val="clear"/>
          </w:tcPr>
          <w:p>
            <w:r>
              <w:rPr>
                <w:color w:val="222222"/>
                <w:sz w:val="19"/>
                <w:szCs w:val="19"/>
              </w:rPr>
              <w:t xml:space="preserve">Biomethanation plant</w:t>
            </w:r>
          </w:p>
        </w:tc>
        <w:tc>
          <w:tcPr>
            <w:tcW w:type="dxa" w:w="3900"/>
            <w:shd w:fill="F2F2F2" w:val="clear"/>
          </w:tcPr>
          <w:p>
            <w:r>
              <w:rPr>
                <w:color w:val="222222"/>
                <w:sz w:val="19"/>
                <w:szCs w:val="19"/>
              </w:rPr>
              <w:t xml:space="preserve">Convert wet waste to biogas at scale</w:t>
            </w:r>
          </w:p>
        </w:tc>
        <w:tc>
          <w:tcPr>
            <w:tcW w:type="dxa" w:w="2850"/>
            <w:shd w:fill="F2F2F2" w:val="clear"/>
          </w:tcPr>
          <w:p>
            <w:r>
              <w:rPr>
                <w:color w:val="222222"/>
                <w:sz w:val="19"/>
                <w:szCs w:val="19"/>
              </w:rPr>
              <w:t xml:space="preserve">High — explicitly Phase 2, capital-partner led, outside pilot budget</w:t>
            </w:r>
          </w:p>
        </w:tc>
      </w:tr>
    </w:tbl>
    <w:p>
      <w:r>
        <w:br w:type="page"/>
      </w:r>
    </w:p>
    <w:p>
      <w:pPr>
        <w:pStyle w:val="Heading1"/>
        <w:spacing w:after="200" w:before="420"/>
      </w:pPr>
      <w:r>
        <w:rPr>
          <w:b/>
          <w:bCs/>
          <w:color w:val="1F3B4D"/>
          <w:sz w:val="30"/>
          <w:szCs w:val="30"/>
        </w:rPr>
        <w:t xml:space="preserve">7. Business Model and Revenue Streams</w:t>
      </w:r>
    </w:p>
    <w:p>
      <w:pPr>
        <w:pStyle w:val="Heading2"/>
        <w:spacing w:after="150" w:before="300"/>
      </w:pPr>
      <w:r>
        <w:rPr>
          <w:b/>
          <w:bCs/>
          <w:color w:val="2E7D32"/>
          <w:sz w:val="24"/>
          <w:szCs w:val="24"/>
        </w:rPr>
        <w:t xml:space="preserve">7.1 Revenue architecture</w:t>
      </w:r>
    </w:p>
    <w:p>
      <w:pPr>
        <w:spacing w:after="160" w:line="276"/>
      </w:pPr>
      <w:r>
        <w:rPr>
          <w:color w:val="222222"/>
          <w:sz w:val="21"/>
          <w:szCs w:val="21"/>
        </w:rPr>
        <w:t xml:space="preserve">Swachta is structured around three complementary revenue streams rather than a single bet, so that unit economics are diversified from day one and no single commodity price swing determines survival.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900"/>
        <w:gridCol w:w="1750"/>
      </w:tblGrid>
      <w:tr>
        <w:trPr>
          <w:tblHeader/>
        </w:trPr>
        <w:tc>
          <w:tcPr>
            <w:tcW w:type="dxa" w:w="2200"/>
            <w:shd w:fill="1F3B4D" w:val="clear"/>
          </w:tcPr>
          <w:p>
            <w:r>
              <w:rPr>
                <w:b/>
                <w:bCs/>
                <w:color w:val="FFFFFF"/>
                <w:sz w:val="19"/>
                <w:szCs w:val="19"/>
              </w:rPr>
              <w:t xml:space="preserve">Stream</w:t>
            </w:r>
          </w:p>
        </w:tc>
        <w:tc>
          <w:tcPr>
            <w:tcW w:type="dxa" w:w="2500"/>
            <w:shd w:fill="1F3B4D" w:val="clear"/>
          </w:tcPr>
          <w:p>
            <w:r>
              <w:rPr>
                <w:b/>
                <w:bCs/>
                <w:color w:val="FFFFFF"/>
                <w:sz w:val="19"/>
                <w:szCs w:val="19"/>
              </w:rPr>
              <w:t xml:space="preserve">Payer</w:t>
            </w:r>
          </w:p>
        </w:tc>
        <w:tc>
          <w:tcPr>
            <w:tcW w:type="dxa" w:w="2900"/>
            <w:shd w:fill="1F3B4D" w:val="clear"/>
          </w:tcPr>
          <w:p>
            <w:r>
              <w:rPr>
                <w:b/>
                <w:bCs/>
                <w:color w:val="FFFFFF"/>
                <w:sz w:val="19"/>
                <w:szCs w:val="19"/>
              </w:rPr>
              <w:t xml:space="preserve">Pricing logic</w:t>
            </w:r>
          </w:p>
        </w:tc>
        <w:tc>
          <w:tcPr>
            <w:tcW w:type="dxa" w:w="1750"/>
            <w:shd w:fill="1F3B4D" w:val="clear"/>
          </w:tcPr>
          <w:p>
            <w:r>
              <w:rPr>
                <w:b/>
                <w:bCs/>
                <w:color w:val="FFFFFF"/>
                <w:sz w:val="19"/>
                <w:szCs w:val="19"/>
              </w:rPr>
              <w:t xml:space="preserve">Phase</w:t>
            </w:r>
          </w:p>
        </w:tc>
      </w:tr>
      <w:tr>
        <w:tc>
          <w:tcPr>
            <w:tcW w:type="dxa" w:w="2200"/>
            <w:shd w:fill="FFFFFF" w:val="clear"/>
          </w:tcPr>
          <w:p>
            <w:r>
              <w:rPr>
                <w:color w:val="222222"/>
                <w:sz w:val="19"/>
                <w:szCs w:val="19"/>
              </w:rPr>
              <w:t xml:space="preserve">Household / small-business collection fee</w:t>
            </w:r>
          </w:p>
        </w:tc>
        <w:tc>
          <w:tcPr>
            <w:tcW w:type="dxa" w:w="2500"/>
            <w:shd w:fill="FFFFFF" w:val="clear"/>
          </w:tcPr>
          <w:p>
            <w:r>
              <w:rPr>
                <w:color w:val="222222"/>
                <w:sz w:val="19"/>
                <w:szCs w:val="19"/>
              </w:rPr>
              <w:t xml:space="preserve">Households and small commercial generators (B2C)</w:t>
            </w:r>
          </w:p>
        </w:tc>
        <w:tc>
          <w:tcPr>
            <w:tcW w:type="dxa" w:w="2900"/>
            <w:shd w:fill="FFFFFF" w:val="clear"/>
          </w:tcPr>
          <w:p>
            <w:r>
              <w:rPr>
                <w:color w:val="222222"/>
                <w:sz w:val="19"/>
                <w:szCs w:val="19"/>
              </w:rPr>
              <w:t xml:space="preserve">Modest, price-sensitive monthly fee, benchmarked to existing informal collection charges</w:t>
            </w:r>
          </w:p>
        </w:tc>
        <w:tc>
          <w:tcPr>
            <w:tcW w:type="dxa" w:w="1750"/>
            <w:shd w:fill="FFFFFF" w:val="clear"/>
          </w:tcPr>
          <w:p>
            <w:r>
              <w:rPr>
                <w:color w:val="222222"/>
                <w:sz w:val="19"/>
                <w:szCs w:val="19"/>
              </w:rPr>
              <w:t xml:space="preserve">Phase 1 (pilot)</w:t>
            </w:r>
          </w:p>
        </w:tc>
      </w:tr>
      <w:tr>
        <w:tc>
          <w:tcPr>
            <w:tcW w:type="dxa" w:w="2200"/>
            <w:shd w:fill="F2F2F2" w:val="clear"/>
          </w:tcPr>
          <w:p>
            <w:r>
              <w:rPr>
                <w:color w:val="222222"/>
                <w:sz w:val="19"/>
                <w:szCs w:val="19"/>
              </w:rPr>
              <w:t xml:space="preserve">Compost sale</w:t>
            </w:r>
          </w:p>
        </w:tc>
        <w:tc>
          <w:tcPr>
            <w:tcW w:type="dxa" w:w="2500"/>
            <w:shd w:fill="F2F2F2" w:val="clear"/>
          </w:tcPr>
          <w:p>
            <w:r>
              <w:rPr>
                <w:color w:val="222222"/>
                <w:sz w:val="19"/>
                <w:szCs w:val="19"/>
              </w:rPr>
              <w:t xml:space="preserve">Local farms, nurseries, landscaping businesses (B2B)</w:t>
            </w:r>
          </w:p>
        </w:tc>
        <w:tc>
          <w:tcPr>
            <w:tcW w:type="dxa" w:w="2900"/>
            <w:shd w:fill="F2F2F2" w:val="clear"/>
          </w:tcPr>
          <w:p>
            <w:r>
              <w:rPr>
                <w:color w:val="222222"/>
                <w:sz w:val="19"/>
                <w:szCs w:val="19"/>
              </w:rPr>
              <w:t xml:space="preserve">Per-kg rate for finished compost, off-take agreement based</w:t>
            </w:r>
          </w:p>
        </w:tc>
        <w:tc>
          <w:tcPr>
            <w:tcW w:type="dxa" w:w="1750"/>
            <w:shd w:fill="F2F2F2" w:val="clear"/>
          </w:tcPr>
          <w:p>
            <w:r>
              <w:rPr>
                <w:color w:val="222222"/>
                <w:sz w:val="19"/>
                <w:szCs w:val="19"/>
              </w:rPr>
              <w:t xml:space="preserve">Phase 1 (pilot)</w:t>
            </w:r>
          </w:p>
        </w:tc>
      </w:tr>
      <w:tr>
        <w:tc>
          <w:tcPr>
            <w:tcW w:type="dxa" w:w="2200"/>
            <w:shd w:fill="FFFFFF" w:val="clear"/>
          </w:tcPr>
          <w:p>
            <w:r>
              <w:rPr>
                <w:color w:val="222222"/>
                <w:sz w:val="19"/>
                <w:szCs w:val="19"/>
              </w:rPr>
              <w:t xml:space="preserve">Recyclables sale</w:t>
            </w:r>
          </w:p>
        </w:tc>
        <w:tc>
          <w:tcPr>
            <w:tcW w:type="dxa" w:w="2500"/>
            <w:shd w:fill="FFFFFF" w:val="clear"/>
          </w:tcPr>
          <w:p>
            <w:r>
              <w:rPr>
                <w:color w:val="222222"/>
                <w:sz w:val="19"/>
                <w:szCs w:val="19"/>
              </w:rPr>
              <w:t xml:space="preserve">Existing recycler / scrap aggregator networks (B2B)</w:t>
            </w:r>
          </w:p>
        </w:tc>
        <w:tc>
          <w:tcPr>
            <w:tcW w:type="dxa" w:w="2900"/>
            <w:shd w:fill="FFFFFF" w:val="clear"/>
          </w:tcPr>
          <w:p>
            <w:r>
              <w:rPr>
                <w:color w:val="222222"/>
                <w:sz w:val="19"/>
                <w:szCs w:val="19"/>
              </w:rPr>
              <w:t xml:space="preserve">Benchmarked to prevailing scrap-market rates by material type</w:t>
            </w:r>
          </w:p>
        </w:tc>
        <w:tc>
          <w:tcPr>
            <w:tcW w:type="dxa" w:w="1750"/>
            <w:shd w:fill="FFFFFF" w:val="clear"/>
          </w:tcPr>
          <w:p>
            <w:r>
              <w:rPr>
                <w:color w:val="222222"/>
                <w:sz w:val="19"/>
                <w:szCs w:val="19"/>
              </w:rPr>
              <w:t xml:space="preserve">Phase 1 (pilot)</w:t>
            </w:r>
          </w:p>
        </w:tc>
      </w:tr>
      <w:tr>
        <w:tc>
          <w:tcPr>
            <w:tcW w:type="dxa" w:w="2200"/>
            <w:shd w:fill="F2F2F2" w:val="clear"/>
          </w:tcPr>
          <w:p>
            <w:r>
              <w:rPr>
                <w:color w:val="222222"/>
                <w:sz w:val="19"/>
                <w:szCs w:val="19"/>
              </w:rPr>
              <w:t xml:space="preserve">RDF sale</w:t>
            </w:r>
          </w:p>
        </w:tc>
        <w:tc>
          <w:tcPr>
            <w:tcW w:type="dxa" w:w="2500"/>
            <w:shd w:fill="F2F2F2" w:val="clear"/>
          </w:tcPr>
          <w:p>
            <w:r>
              <w:rPr>
                <w:color w:val="222222"/>
                <w:sz w:val="19"/>
                <w:szCs w:val="19"/>
              </w:rPr>
              <w:t xml:space="preserve">Cement kilns / WtE operators (B2B)</w:t>
            </w:r>
          </w:p>
        </w:tc>
        <w:tc>
          <w:tcPr>
            <w:tcW w:type="dxa" w:w="2900"/>
            <w:shd w:fill="F2F2F2" w:val="clear"/>
          </w:tcPr>
          <w:p>
            <w:r>
              <w:rPr>
                <w:color w:val="222222"/>
                <w:sz w:val="19"/>
                <w:szCs w:val="19"/>
              </w:rPr>
              <w:t xml:space="preserve">Per-tonne rate, off-take agreement based</w:t>
            </w:r>
          </w:p>
        </w:tc>
        <w:tc>
          <w:tcPr>
            <w:tcW w:type="dxa" w:w="1750"/>
            <w:shd w:fill="F2F2F2" w:val="clear"/>
          </w:tcPr>
          <w:p>
            <w:r>
              <w:rPr>
                <w:color w:val="222222"/>
                <w:sz w:val="19"/>
                <w:szCs w:val="19"/>
              </w:rPr>
              <w:t xml:space="preserve">Phase 2 (post-pilot)</w:t>
            </w:r>
          </w:p>
        </w:tc>
      </w:tr>
      <w:tr>
        <w:tc>
          <w:tcPr>
            <w:tcW w:type="dxa" w:w="2200"/>
            <w:shd w:fill="FFFFFF" w:val="clear"/>
          </w:tcPr>
          <w:p>
            <w:r>
              <w:rPr>
                <w:color w:val="222222"/>
                <w:sz w:val="19"/>
                <w:szCs w:val="19"/>
              </w:rPr>
              <w:t xml:space="preserve">ULB service contract (future)</w:t>
            </w:r>
          </w:p>
        </w:tc>
        <w:tc>
          <w:tcPr>
            <w:tcW w:type="dxa" w:w="2500"/>
            <w:shd w:fill="FFFFFF" w:val="clear"/>
          </w:tcPr>
          <w:p>
            <w:r>
              <w:rPr>
                <w:color w:val="222222"/>
                <w:sz w:val="19"/>
                <w:szCs w:val="19"/>
              </w:rPr>
              <w:t xml:space="preserve">Ghaziabad Municipal Corporation (B2G)</w:t>
            </w:r>
          </w:p>
        </w:tc>
        <w:tc>
          <w:tcPr>
            <w:tcW w:type="dxa" w:w="2900"/>
            <w:shd w:fill="FFFFFF" w:val="clear"/>
          </w:tcPr>
          <w:p>
            <w:r>
              <w:rPr>
                <w:color w:val="222222"/>
                <w:sz w:val="19"/>
                <w:szCs w:val="19"/>
              </w:rPr>
              <w:t xml:space="preserve">Contracted collection/compliance-data service fee</w:t>
            </w:r>
          </w:p>
        </w:tc>
        <w:tc>
          <w:tcPr>
            <w:tcW w:type="dxa" w:w="1750"/>
            <w:shd w:fill="FFFFFF" w:val="clear"/>
          </w:tcPr>
          <w:p>
            <w:r>
              <w:rPr>
                <w:color w:val="222222"/>
                <w:sz w:val="19"/>
                <w:szCs w:val="19"/>
              </w:rPr>
              <w:t xml:space="preserve">Phase 3 (post-traction)</w:t>
            </w:r>
          </w:p>
        </w:tc>
      </w:tr>
    </w:tbl>
    <w:p>
      <w:pPr>
        <w:pStyle w:val="Heading2"/>
        <w:spacing w:after="150" w:before="300"/>
      </w:pPr>
      <w:r>
        <w:rPr>
          <w:b/>
          <w:bCs/>
          <w:color w:val="2E7D32"/>
          <w:sz w:val="24"/>
          <w:szCs w:val="24"/>
        </w:rPr>
        <w:t xml:space="preserve">7.2 Why a phased, hybrid model — and the tension worth naming</w:t>
      </w:r>
    </w:p>
    <w:p>
      <w:pPr>
        <w:spacing w:after="160" w:line="276"/>
      </w:pPr>
      <w:r>
        <w:rPr>
          <w:color w:val="222222"/>
          <w:sz w:val="21"/>
          <w:szCs w:val="21"/>
        </w:rPr>
        <w:t xml:space="preserve">The founder's original ask was framed as a single business, but B2C, B2B and B2G models carry genuinely different sales cycles and capital needs, and hedging across all three in a pitch deck reads as indecision to a sophisticated financier. This plan resolves that by sequencing rather than choosing once: household fees and B2B off-take fund and validate the pilot; a ULB contract is treated as a Phase 3 upside earned by pilot evidence, not a Day 1 assumption. Financiers should be told explicitly which phase is being pitched.</w:t>
      </w:r>
    </w:p>
    <w:p>
      <w:pPr>
        <w:pStyle w:val="Heading2"/>
        <w:spacing w:after="150" w:before="300"/>
      </w:pPr>
      <w:r>
        <w:rPr>
          <w:b/>
          <w:bCs/>
          <w:color w:val="2E7D32"/>
          <w:sz w:val="24"/>
          <w:szCs w:val="24"/>
        </w:rPr>
        <w:t xml:space="preserve">7.3 Pricing philosophy</w:t>
      </w:r>
    </w:p>
    <w:p>
      <w:pPr>
        <w:spacing w:after="160" w:line="276"/>
      </w:pPr>
      <w:r>
        <w:rPr>
          <w:color w:val="222222"/>
          <w:sz w:val="21"/>
          <w:szCs w:val="21"/>
        </w:rPr>
        <w:t xml:space="preserve">'Sahi Daam' (fair price) is a brand promise as much as a pricing rule: household fees are set to be affordable and competitive with informal collection, while worker pay is set to be transparent and tied to verified work — the two must both hold for the model to be credible to the communities it depends on.</w:t>
      </w:r>
    </w:p>
    <w:p>
      <w:r>
        <w:br w:type="page"/>
      </w:r>
    </w:p>
    <w:p>
      <w:pPr>
        <w:pStyle w:val="Heading1"/>
        <w:spacing w:after="200" w:before="420"/>
      </w:pPr>
      <w:r>
        <w:rPr>
          <w:b/>
          <w:bCs/>
          <w:color w:val="1F3B4D"/>
          <w:sz w:val="30"/>
          <w:szCs w:val="30"/>
        </w:rPr>
        <w:t xml:space="preserve">8. Competitive Landscape</w:t>
      </w:r>
    </w:p>
    <w:p>
      <w:pPr>
        <w:pStyle w:val="Heading2"/>
        <w:spacing w:after="150" w:before="300"/>
      </w:pPr>
      <w:r>
        <w:rPr>
          <w:b/>
          <w:bCs/>
          <w:color w:val="2E7D32"/>
          <w:sz w:val="24"/>
          <w:szCs w:val="24"/>
        </w:rPr>
        <w:t xml:space="preserve">8.1 Direct and adjacent players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550"/>
        <w:gridCol w:w="3700"/>
      </w:tblGrid>
      <w:tr>
        <w:trPr>
          <w:tblHeader/>
        </w:trPr>
        <w:tc>
          <w:tcPr>
            <w:tcW w:type="dxa" w:w="2100"/>
            <w:shd w:fill="1F3B4D" w:val="clear"/>
          </w:tcPr>
          <w:p>
            <w:r>
              <w:rPr>
                <w:b/>
                <w:bCs/>
                <w:color w:val="FFFFFF"/>
                <w:sz w:val="19"/>
                <w:szCs w:val="19"/>
              </w:rPr>
              <w:t xml:space="preserve">Player</w:t>
            </w:r>
          </w:p>
        </w:tc>
        <w:tc>
          <w:tcPr>
            <w:tcW w:type="dxa" w:w="3550"/>
            <w:shd w:fill="1F3B4D" w:val="clear"/>
          </w:tcPr>
          <w:p>
            <w:r>
              <w:rPr>
                <w:b/>
                <w:bCs/>
                <w:color w:val="FFFFFF"/>
                <w:sz w:val="19"/>
                <w:szCs w:val="19"/>
              </w:rPr>
              <w:t xml:space="preserve">Model</w:t>
            </w:r>
          </w:p>
        </w:tc>
        <w:tc>
          <w:tcPr>
            <w:tcW w:type="dxa" w:w="3700"/>
            <w:shd w:fill="1F3B4D" w:val="clear"/>
          </w:tcPr>
          <w:p>
            <w:r>
              <w:rPr>
                <w:b/>
                <w:bCs/>
                <w:color w:val="FFFFFF"/>
                <w:sz w:val="19"/>
                <w:szCs w:val="19"/>
              </w:rPr>
              <w:t xml:space="preserve">Where Swachta differs</w:t>
            </w:r>
          </w:p>
        </w:tc>
      </w:tr>
      <w:tr>
        <w:tc>
          <w:tcPr>
            <w:tcW w:type="dxa" w:w="2100"/>
            <w:shd w:fill="FFFFFF" w:val="clear"/>
          </w:tcPr>
          <w:p>
            <w:r>
              <w:rPr>
                <w:color w:val="222222"/>
                <w:sz w:val="19"/>
                <w:szCs w:val="19"/>
              </w:rPr>
              <w:t xml:space="preserve">Recykal</w:t>
            </w:r>
          </w:p>
        </w:tc>
        <w:tc>
          <w:tcPr>
            <w:tcW w:type="dxa" w:w="3550"/>
            <w:shd w:fill="FFFFFF" w:val="clear"/>
          </w:tcPr>
          <w:p>
            <w:r>
              <w:rPr>
                <w:color w:val="222222"/>
                <w:sz w:val="19"/>
                <w:szCs w:val="19"/>
              </w:rPr>
              <w:t xml:space="preserve">B2B digital marketplace connecting waste generators, aggregators, recyclers; EPR compliance services</w:t>
            </w:r>
          </w:p>
        </w:tc>
        <w:tc>
          <w:tcPr>
            <w:tcW w:type="dxa" w:w="3700"/>
            <w:shd w:fill="FFFFFF" w:val="clear"/>
          </w:tcPr>
          <w:p>
            <w:r>
              <w:rPr>
                <w:color w:val="222222"/>
                <w:sz w:val="19"/>
                <w:szCs w:val="19"/>
              </w:rPr>
              <w:t xml:space="preserve">Recykal is a marketplace/enterprise-facing platform; Swachta is household/ward-level and worker-facing at the actual point of collection</w:t>
            </w:r>
          </w:p>
        </w:tc>
      </w:tr>
      <w:tr>
        <w:tc>
          <w:tcPr>
            <w:tcW w:type="dxa" w:w="2100"/>
            <w:shd w:fill="F2F2F2" w:val="clear"/>
          </w:tcPr>
          <w:p>
            <w:r>
              <w:rPr>
                <w:color w:val="222222"/>
                <w:sz w:val="19"/>
                <w:szCs w:val="19"/>
              </w:rPr>
              <w:t xml:space="preserve">Saahas Zero Waste</w:t>
            </w:r>
          </w:p>
        </w:tc>
        <w:tc>
          <w:tcPr>
            <w:tcW w:type="dxa" w:w="3550"/>
            <w:shd w:fill="F2F2F2" w:val="clear"/>
          </w:tcPr>
          <w:p>
            <w:r>
              <w:rPr>
                <w:color w:val="222222"/>
                <w:sz w:val="19"/>
                <w:szCs w:val="19"/>
              </w:rPr>
              <w:t xml:space="preserve">End-to-end managed waste services for institutions and townships</w:t>
            </w:r>
          </w:p>
        </w:tc>
        <w:tc>
          <w:tcPr>
            <w:tcW w:type="dxa" w:w="3700"/>
            <w:shd w:fill="F2F2F2" w:val="clear"/>
          </w:tcPr>
          <w:p>
            <w:r>
              <w:rPr>
                <w:color w:val="222222"/>
                <w:sz w:val="19"/>
                <w:szCs w:val="19"/>
              </w:rPr>
              <w:t xml:space="preserve">Saahas targets institutional clients; Swachta's pilot is civic/ULB and household-anchored, targeting a different customer entry point</w:t>
            </w:r>
          </w:p>
        </w:tc>
      </w:tr>
      <w:tr>
        <w:tc>
          <w:tcPr>
            <w:tcW w:type="dxa" w:w="2100"/>
            <w:shd w:fill="FFFFFF" w:val="clear"/>
          </w:tcPr>
          <w:p>
            <w:r>
              <w:rPr>
                <w:color w:val="222222"/>
                <w:sz w:val="19"/>
                <w:szCs w:val="19"/>
              </w:rPr>
              <w:t xml:space="preserve">WeVOIS Labs</w:t>
            </w:r>
          </w:p>
        </w:tc>
        <w:tc>
          <w:tcPr>
            <w:tcW w:type="dxa" w:w="3550"/>
            <w:shd w:fill="FFFFFF" w:val="clear"/>
          </w:tcPr>
          <w:p>
            <w:r>
              <w:rPr>
                <w:color w:val="222222"/>
                <w:sz w:val="19"/>
                <w:szCs w:val="19"/>
              </w:rPr>
              <w:t xml:space="preserve">IoT-based automated door-to-door collection tracking</w:t>
            </w:r>
          </w:p>
        </w:tc>
        <w:tc>
          <w:tcPr>
            <w:tcW w:type="dxa" w:w="3700"/>
            <w:shd w:fill="FFFFFF" w:val="clear"/>
          </w:tcPr>
          <w:p>
            <w:r>
              <w:rPr>
                <w:color w:val="222222"/>
                <w:sz w:val="19"/>
                <w:szCs w:val="19"/>
              </w:rPr>
              <w:t xml:space="preserve">Overlaps on tech-enabled collection; Swachta differentiates on worker-inclusion design and civic brand/movement positioning</w:t>
            </w:r>
          </w:p>
        </w:tc>
      </w:tr>
      <w:tr>
        <w:tc>
          <w:tcPr>
            <w:tcW w:type="dxa" w:w="2100"/>
            <w:shd w:fill="F2F2F2" w:val="clear"/>
          </w:tcPr>
          <w:p>
            <w:r>
              <w:rPr>
                <w:color w:val="222222"/>
                <w:sz w:val="19"/>
                <w:szCs w:val="19"/>
              </w:rPr>
              <w:t xml:space="preserve">TrashCon</w:t>
            </w:r>
          </w:p>
        </w:tc>
        <w:tc>
          <w:tcPr>
            <w:tcW w:type="dxa" w:w="3550"/>
            <w:shd w:fill="F2F2F2" w:val="clear"/>
          </w:tcPr>
          <w:p>
            <w:r>
              <w:rPr>
                <w:color w:val="222222"/>
                <w:sz w:val="19"/>
                <w:szCs w:val="19"/>
              </w:rPr>
              <w:t xml:space="preserve">End-to-end waste sorting and recycling technology</w:t>
            </w:r>
          </w:p>
        </w:tc>
        <w:tc>
          <w:tcPr>
            <w:tcW w:type="dxa" w:w="3700"/>
            <w:shd w:fill="F2F2F2" w:val="clear"/>
          </w:tcPr>
          <w:p>
            <w:r>
              <w:rPr>
                <w:color w:val="222222"/>
                <w:sz w:val="19"/>
                <w:szCs w:val="19"/>
              </w:rPr>
              <w:t xml:space="preserve">TrashCon is a technology/hardware play for sorting; Swachta is a service and logistics layer that can use multiple downstream partners</w:t>
            </w:r>
          </w:p>
        </w:tc>
      </w:tr>
      <w:tr>
        <w:tc>
          <w:tcPr>
            <w:tcW w:type="dxa" w:w="2100"/>
            <w:shd w:fill="FFFFFF" w:val="clear"/>
          </w:tcPr>
          <w:p>
            <w:r>
              <w:rPr>
                <w:color w:val="222222"/>
                <w:sz w:val="19"/>
                <w:szCs w:val="19"/>
              </w:rPr>
              <w:t xml:space="preserve">Informal sector (raddiwalas, waste pickers)</w:t>
            </w:r>
          </w:p>
        </w:tc>
        <w:tc>
          <w:tcPr>
            <w:tcW w:type="dxa" w:w="3550"/>
            <w:shd w:fill="FFFFFF" w:val="clear"/>
          </w:tcPr>
          <w:p>
            <w:r>
              <w:rPr>
                <w:color w:val="222222"/>
                <w:sz w:val="19"/>
                <w:szCs w:val="19"/>
              </w:rPr>
              <w:t xml:space="preserve">De facto majority of India's actual sorting and recovery work today</w:t>
            </w:r>
          </w:p>
        </w:tc>
        <w:tc>
          <w:tcPr>
            <w:tcW w:type="dxa" w:w="3700"/>
            <w:shd w:fill="FFFFFF" w:val="clear"/>
          </w:tcPr>
          <w:p>
            <w:r>
              <w:rPr>
                <w:color w:val="222222"/>
                <w:sz w:val="19"/>
                <w:szCs w:val="19"/>
              </w:rPr>
              <w:t xml:space="preserve">Not a competitor to displace — a workforce to formalise and route volume through, which is itself part of Swachta's differentiation</w:t>
            </w:r>
          </w:p>
        </w:tc>
      </w:tr>
    </w:tbl>
    <w:p>
      <w:pPr>
        <w:pStyle w:val="Heading2"/>
        <w:spacing w:after="150" w:before="300"/>
      </w:pPr>
      <w:r>
        <w:rPr>
          <w:b/>
          <w:bCs/>
          <w:color w:val="2E7D32"/>
          <w:sz w:val="24"/>
          <w:szCs w:val="24"/>
        </w:rPr>
        <w:t xml:space="preserve">8.2 SWOT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1F3B4D" w:val="clear"/>
          </w:tcPr>
          <w:p>
            <w:r>
              <w:rPr>
                <w:b/>
                <w:bCs/>
                <w:color w:val="FFFFFF"/>
                <w:sz w:val="19"/>
                <w:szCs w:val="19"/>
              </w:rPr>
              <w:t xml:space="preserve">Strengths</w:t>
            </w:r>
          </w:p>
        </w:tc>
        <w:tc>
          <w:tcPr>
            <w:tcW w:type="dxa" w:w="4700"/>
            <w:shd w:fill="1F3B4D" w:val="clear"/>
          </w:tcPr>
          <w:p>
            <w:r>
              <w:rPr>
                <w:b/>
                <w:bCs/>
                <w:color w:val="FFFFFF"/>
                <w:sz w:val="19"/>
                <w:szCs w:val="19"/>
              </w:rPr>
              <w:t xml:space="preserve">Weaknesses</w:t>
            </w:r>
          </w:p>
        </w:tc>
      </w:tr>
      <w:tr>
        <w:tc>
          <w:tcPr>
            <w:tcW w:type="dxa" w:w="4650"/>
            <w:shd w:fill="FFFFFF" w:val="clear"/>
          </w:tcPr>
          <w:p>
            <w:r>
              <w:rPr>
                <w:color w:val="222222"/>
                <w:sz w:val="19"/>
                <w:szCs w:val="19"/>
              </w:rPr>
              <w:t xml:space="preserve">Founder-led civic brand with genuine movement-building instinct (e.g. worker-dignity campaign framing); asset-light, phased technical model that avoids overcapitalised infrastructure bets</w:t>
            </w:r>
          </w:p>
        </w:tc>
        <w:tc>
          <w:tcPr>
            <w:tcW w:type="dxa" w:w="4700"/>
            <w:shd w:fill="FFFFFF" w:val="clear"/>
          </w:tcPr>
          <w:p>
            <w:r>
              <w:rPr>
                <w:color w:val="222222"/>
                <w:sz w:val="19"/>
                <w:szCs w:val="19"/>
              </w:rPr>
              <w:t xml:space="preserve">No live operating history yet; solo technical founder without dedicated field-operations or ULB-relations experience on the team</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1F3B4D" w:val="clear"/>
          </w:tcPr>
          <w:p>
            <w:r>
              <w:rPr>
                <w:b/>
                <w:bCs/>
                <w:color w:val="FFFFFF"/>
                <w:sz w:val="19"/>
                <w:szCs w:val="19"/>
              </w:rPr>
              <w:t xml:space="preserve">Opportunities</w:t>
            </w:r>
          </w:p>
        </w:tc>
        <w:tc>
          <w:tcPr>
            <w:tcW w:type="dxa" w:w="4700"/>
            <w:shd w:fill="1F3B4D" w:val="clear"/>
          </w:tcPr>
          <w:p>
            <w:r>
              <w:rPr>
                <w:b/>
                <w:bCs/>
                <w:color w:val="FFFFFF"/>
                <w:sz w:val="19"/>
                <w:szCs w:val="19"/>
              </w:rPr>
              <w:t xml:space="preserve">Threats</w:t>
            </w:r>
          </w:p>
        </w:tc>
      </w:tr>
      <w:tr>
        <w:tc>
          <w:tcPr>
            <w:tcW w:type="dxa" w:w="4650"/>
            <w:shd w:fill="FFFFFF" w:val="clear"/>
          </w:tcPr>
          <w:p>
            <w:r>
              <w:rPr>
                <w:color w:val="222222"/>
                <w:sz w:val="19"/>
                <w:szCs w:val="19"/>
              </w:rPr>
              <w:t xml:space="preserve">New SWM Rules (effective Oct 2025) mandating segregation; active grant/incubator pipeline via Swachh Bharat Mission-Urban; growing circular-economy capital pool ($203M+ in 2024)</w:t>
            </w:r>
          </w:p>
        </w:tc>
        <w:tc>
          <w:tcPr>
            <w:tcW w:type="dxa" w:w="4700"/>
            <w:shd w:fill="FFFFFF" w:val="clear"/>
          </w:tcPr>
          <w:p>
            <w:r>
              <w:rPr>
                <w:color w:val="222222"/>
                <w:sz w:val="19"/>
                <w:szCs w:val="19"/>
              </w:rPr>
              <w:t xml:space="preserve">123+ funded competitors nationally; ULB/PPP track record includes politically-driven contract risk; commodity price volatility on recyclables/RDF off-take</w:t>
            </w:r>
          </w:p>
        </w:tc>
      </w:tr>
    </w:tbl>
    <w:p>
      <w:pPr>
        <w:pStyle w:val="Heading2"/>
        <w:spacing w:after="150" w:before="300"/>
      </w:pPr>
      <w:r>
        <w:rPr>
          <w:b/>
          <w:bCs/>
          <w:color w:val="2E7D32"/>
          <w:sz w:val="24"/>
          <w:szCs w:val="24"/>
        </w:rPr>
        <w:t xml:space="preserve">8.3 The honest positioning</w:t>
      </w:r>
    </w:p>
    <w:p>
      <w:pPr>
        <w:spacing w:after="160" w:line="276"/>
      </w:pPr>
      <w:r>
        <w:rPr>
          <w:color w:val="222222"/>
          <w:sz w:val="21"/>
          <w:szCs w:val="21"/>
        </w:rPr>
        <w:t xml:space="preserve">This is not a blue-ocean market, and the plan should not pretend otherwise to a financier who can check. The defensible position is a specific geography (tier-2 NCR, starting with Ghaziabad), a specific wedge (verified source segregation at the household level, not enterprise/institutional), and a specific values position (worker dignity as product design, not a CSR add-on) — not a claim of being first-to-market in Indian waste tech.</w:t>
      </w:r>
    </w:p>
    <w:p>
      <w:r>
        <w:br w:type="page"/>
      </w:r>
    </w:p>
    <w:p>
      <w:pPr>
        <w:pStyle w:val="Heading1"/>
        <w:spacing w:after="200" w:before="420"/>
      </w:pPr>
      <w:r>
        <w:rPr>
          <w:b/>
          <w:bCs/>
          <w:color w:val="1F3B4D"/>
          <w:sz w:val="30"/>
          <w:szCs w:val="30"/>
        </w:rPr>
        <w:t xml:space="preserve">9. Go-to-Market and Branding Strategy</w:t>
      </w:r>
    </w:p>
    <w:p>
      <w:pPr>
        <w:pStyle w:val="Heading2"/>
        <w:spacing w:after="150" w:before="300"/>
      </w:pPr>
      <w:r>
        <w:rPr>
          <w:b/>
          <w:bCs/>
          <w:color w:val="2E7D32"/>
          <w:sz w:val="24"/>
          <w:szCs w:val="24"/>
        </w:rPr>
        <w:t xml:space="preserve">9.1 Brand positioning</w:t>
      </w:r>
    </w:p>
    <w:p>
      <w:pPr>
        <w:spacing w:after="160" w:line="276"/>
      </w:pPr>
      <w:r>
        <w:rPr>
          <w:color w:val="222222"/>
          <w:sz w:val="21"/>
          <w:szCs w:val="21"/>
        </w:rPr>
        <w:t xml:space="preserve">Swachta is positioned as a civic movement with a business model underneath it, not the reverse — a deliberate choice given the founder's demonstrated strength in movement-building and brand storytelling. The tagline 'Saaf Sheher, Sahi Daam' (Clean City, Fair Price) ties environmental outcome and worker/household fairness into a single promise.</w:t>
      </w:r>
    </w:p>
    <w:p>
      <w:pPr>
        <w:pStyle w:val="Heading2"/>
        <w:spacing w:after="150" w:before="300"/>
      </w:pPr>
      <w:r>
        <w:rPr>
          <w:b/>
          <w:bCs/>
          <w:color w:val="2E7D32"/>
          <w:sz w:val="24"/>
          <w:szCs w:val="24"/>
        </w:rPr>
        <w:t xml:space="preserve">9.2 The 'Cockroach Janta Party' campaign concept</w:t>
      </w:r>
    </w:p>
    <w:p>
      <w:pPr>
        <w:spacing w:after="160" w:line="276"/>
      </w:pPr>
      <w:r>
        <w:rPr>
          <w:color w:val="222222"/>
          <w:sz w:val="21"/>
          <w:szCs w:val="21"/>
        </w:rPr>
        <w:t xml:space="preserve">A creative campaign built around sanitation worker dignity, using sharp, memorable civic messaging to draw public and media attention to the informal sanitation workforce's conditions — intended to build local awareness and household buy-in ahead of and during the Ghaziabad pilot launch, while positioning Swachta as a values-led local actor rather than a generic collection vendor.</w:t>
      </w:r>
    </w:p>
    <w:p>
      <w:pPr>
        <w:pBdr>
          <w:left w:val="single" w:color="C99A2E" w:sz="12" w:space="8"/>
        </w:pBdr>
        <w:shd w:fill="FFF7E0" w:val="clear"/>
        <w:spacing w:after="200" w:before="100"/>
      </w:pPr>
      <w:r>
        <w:rPr>
          <w:i/>
          <w:iCs/>
          <w:color w:val="6B5B10"/>
          <w:sz w:val="20"/>
          <w:szCs w:val="20"/>
        </w:rPr>
        <w:t xml:space="preserve">Financier framing note: this campaign is a household-acquisition and brand-differentiation tool, not the business model itself. In any pitch, lead with the operating model and unit economics; use the campaign as evidence of low-cost, high-recall customer acquisition capability.</w:t>
      </w:r>
    </w:p>
    <w:p>
      <w:pPr>
        <w:pStyle w:val="Heading2"/>
        <w:spacing w:after="150" w:before="300"/>
      </w:pPr>
      <w:r>
        <w:rPr>
          <w:b/>
          <w:bCs/>
          <w:color w:val="2E7D32"/>
          <w:sz w:val="24"/>
          <w:szCs w:val="24"/>
        </w:rPr>
        <w:t xml:space="preserve">9.3 Phased rollout</w:t>
      </w:r>
    </w:p>
    <w:p>
      <w:pPr>
        <w:pStyle w:val="ListParagraph"/>
        <w:numPr>
          <w:ilvl w:val="0"/>
          <w:numId w:val="2"/>
        </w:numPr>
        <w:spacing w:after="90"/>
      </w:pPr>
      <w:r>
        <w:rPr>
          <w:color w:val="222222"/>
          <w:sz w:val="21"/>
          <w:szCs w:val="21"/>
        </w:rPr>
        <w:t xml:space="preserve">Days 1–30: Ward selection and baseline waste audit; onboarding conversations with ward councillor(s) and local contractors; recruit and onboard first cohort of collection workers; finalise composting off-take partner; soft-launch civic campaign messaging locally.</w:t>
      </w:r>
    </w:p>
    <w:p>
      <w:pPr>
        <w:pStyle w:val="ListParagraph"/>
        <w:numPr>
          <w:ilvl w:val="0"/>
          <w:numId w:val="2"/>
        </w:numPr>
        <w:spacing w:after="90"/>
      </w:pPr>
      <w:r>
        <w:rPr>
          <w:color w:val="222222"/>
          <w:sz w:val="21"/>
          <w:szCs w:val="21"/>
        </w:rPr>
        <w:t xml:space="preserve">Days 31–60: Launch Requestor App in 500–1,000 households across 2–3 wards; begin verified-segregation collection; start wet-waste composting off-take; begin dry-recyclables sale to existing recycler network.</w:t>
      </w:r>
    </w:p>
    <w:p>
      <w:pPr>
        <w:pStyle w:val="ListParagraph"/>
        <w:numPr>
          <w:ilvl w:val="0"/>
          <w:numId w:val="2"/>
        </w:numPr>
        <w:spacing w:after="90"/>
      </w:pPr>
      <w:r>
        <w:rPr>
          <w:color w:val="222222"/>
          <w:sz w:val="21"/>
          <w:szCs w:val="21"/>
        </w:rPr>
        <w:t xml:space="preserve">Days 61–90: Measure and publish pilot metrics (Section 10); begin RDF aggregation for the non-recyclable dry stream; open evidence-based conversations with the ULB for a formal collection contract or MoU.</w:t>
      </w:r>
    </w:p>
    <w:p>
      <w:pPr>
        <w:pStyle w:val="ListParagraph"/>
        <w:numPr>
          <w:ilvl w:val="0"/>
          <w:numId w:val="2"/>
        </w:numPr>
        <w:spacing w:after="90"/>
      </w:pPr>
      <w:r>
        <w:rPr>
          <w:color w:val="222222"/>
          <w:sz w:val="21"/>
          <w:szCs w:val="21"/>
        </w:rPr>
        <w:t xml:space="preserve">Months 4–6: Expand to additional wards based on validated unit economics; begin Phase 2 conversations with a biomethanation capital partner if wet-waste volumes justify it.</w:t>
      </w:r>
    </w:p>
    <w:p>
      <w:pPr>
        <w:pStyle w:val="Heading2"/>
        <w:spacing w:after="150" w:before="300"/>
      </w:pPr>
      <w:r>
        <w:rPr>
          <w:b/>
          <w:bCs/>
          <w:color w:val="2E7D32"/>
          <w:sz w:val="24"/>
          <w:szCs w:val="24"/>
        </w:rPr>
        <w:t xml:space="preserve">9.4 Acquisition channels</w:t>
      </w:r>
    </w:p>
    <w:p>
      <w:pPr>
        <w:pStyle w:val="ListParagraph"/>
        <w:numPr>
          <w:ilvl w:val="0"/>
          <w:numId w:val="2"/>
        </w:numPr>
        <w:spacing w:after="90"/>
      </w:pPr>
      <w:r>
        <w:rPr>
          <w:color w:val="222222"/>
          <w:sz w:val="21"/>
          <w:szCs w:val="21"/>
        </w:rPr>
        <w:t xml:space="preserve">Ward councillor and Resident Welfare Association (RWA) partnerships for trusted local introductions.</w:t>
      </w:r>
    </w:p>
    <w:p>
      <w:pPr>
        <w:pStyle w:val="ListParagraph"/>
        <w:numPr>
          <w:ilvl w:val="0"/>
          <w:numId w:val="2"/>
        </w:numPr>
        <w:spacing w:after="90"/>
      </w:pPr>
      <w:r>
        <w:rPr>
          <w:color w:val="222222"/>
          <w:sz w:val="21"/>
          <w:szCs w:val="21"/>
        </w:rPr>
        <w:t xml:space="preserve">Door-to-door onboarding by the same workers who will perform collection — building trust and route familiarity simultaneously.</w:t>
      </w:r>
    </w:p>
    <w:p>
      <w:pPr>
        <w:pStyle w:val="ListParagraph"/>
        <w:numPr>
          <w:ilvl w:val="0"/>
          <w:numId w:val="2"/>
        </w:numPr>
        <w:spacing w:after="90"/>
      </w:pPr>
      <w:r>
        <w:rPr>
          <w:color w:val="222222"/>
          <w:sz w:val="21"/>
          <w:szCs w:val="21"/>
        </w:rPr>
        <w:t xml:space="preserve">Localised civic campaign content (per Section 9.2) for low-cost awareness and word-of-mouth acquisition.</w:t>
      </w:r>
    </w:p>
    <w:p>
      <w:pPr>
        <w:pStyle w:val="ListParagraph"/>
        <w:numPr>
          <w:ilvl w:val="0"/>
          <w:numId w:val="2"/>
        </w:numPr>
        <w:spacing w:after="90"/>
      </w:pPr>
      <w:r>
        <w:rPr>
          <w:color w:val="222222"/>
          <w:sz w:val="21"/>
          <w:szCs w:val="21"/>
        </w:rPr>
        <w:t xml:space="preserve">School and local institution partnerships for segregation education, building longer-term household habits.</w:t>
      </w:r>
    </w:p>
    <w:p>
      <w:pPr>
        <w:pStyle w:val="Heading2"/>
        <w:spacing w:after="150" w:before="300"/>
      </w:pPr>
      <w:r>
        <w:rPr>
          <w:b/>
          <w:bCs/>
          <w:color w:val="2E7D32"/>
          <w:sz w:val="24"/>
          <w:szCs w:val="24"/>
        </w:rPr>
        <w:t xml:space="preserve">9.5 Marketing and communications calendar (first 90 days)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50"/>
      </w:tblGrid>
      <w:tr>
        <w:trPr>
          <w:tblHeader/>
        </w:trPr>
        <w:tc>
          <w:tcPr>
            <w:tcW w:type="dxa" w:w="1900"/>
            <w:shd w:fill="1F3B4D" w:val="clear"/>
          </w:tcPr>
          <w:p>
            <w:r>
              <w:rPr>
                <w:b/>
                <w:bCs/>
                <w:color w:val="FFFFFF"/>
                <w:sz w:val="19"/>
                <w:szCs w:val="19"/>
              </w:rPr>
              <w:t xml:space="preserve">Timing</w:t>
            </w:r>
          </w:p>
        </w:tc>
        <w:tc>
          <w:tcPr>
            <w:tcW w:type="dxa" w:w="4200"/>
            <w:shd w:fill="1F3B4D" w:val="clear"/>
          </w:tcPr>
          <w:p>
            <w:r>
              <w:rPr>
                <w:b/>
                <w:bCs/>
                <w:color w:val="FFFFFF"/>
                <w:sz w:val="19"/>
                <w:szCs w:val="19"/>
              </w:rPr>
              <w:t xml:space="preserve">Activity</w:t>
            </w:r>
          </w:p>
        </w:tc>
        <w:tc>
          <w:tcPr>
            <w:tcW w:type="dxa" w:w="3250"/>
            <w:shd w:fill="1F3B4D" w:val="clear"/>
          </w:tcPr>
          <w:p>
            <w:r>
              <w:rPr>
                <w:b/>
                <w:bCs/>
                <w:color w:val="FFFFFF"/>
                <w:sz w:val="19"/>
                <w:szCs w:val="19"/>
              </w:rPr>
              <w:t xml:space="preserve">Goal</w:t>
            </w:r>
          </w:p>
        </w:tc>
      </w:tr>
      <w:tr>
        <w:tc>
          <w:tcPr>
            <w:tcW w:type="dxa" w:w="1900"/>
            <w:shd w:fill="FFFFFF" w:val="clear"/>
          </w:tcPr>
          <w:p>
            <w:r>
              <w:rPr>
                <w:color w:val="222222"/>
                <w:sz w:val="19"/>
                <w:szCs w:val="19"/>
              </w:rPr>
              <w:t xml:space="preserve">Days 1–15</w:t>
            </w:r>
          </w:p>
        </w:tc>
        <w:tc>
          <w:tcPr>
            <w:tcW w:type="dxa" w:w="4200"/>
            <w:shd w:fill="FFFFFF" w:val="clear"/>
          </w:tcPr>
          <w:p>
            <w:r>
              <w:rPr>
                <w:color w:val="222222"/>
                <w:sz w:val="19"/>
                <w:szCs w:val="19"/>
              </w:rPr>
              <w:t xml:space="preserve">Councillor and RWA introductory meetings; ward walk-throughs</w:t>
            </w:r>
          </w:p>
        </w:tc>
        <w:tc>
          <w:tcPr>
            <w:tcW w:type="dxa" w:w="3250"/>
            <w:shd w:fill="FFFFFF" w:val="clear"/>
          </w:tcPr>
          <w:p>
            <w:r>
              <w:rPr>
                <w:color w:val="222222"/>
                <w:sz w:val="19"/>
                <w:szCs w:val="19"/>
              </w:rPr>
              <w:t xml:space="preserve">Build local legitimacy before any public messaging</w:t>
            </w:r>
          </w:p>
        </w:tc>
      </w:tr>
      <w:tr>
        <w:tc>
          <w:tcPr>
            <w:tcW w:type="dxa" w:w="1900"/>
            <w:shd w:fill="F2F2F2" w:val="clear"/>
          </w:tcPr>
          <w:p>
            <w:r>
              <w:rPr>
                <w:color w:val="222222"/>
                <w:sz w:val="19"/>
                <w:szCs w:val="19"/>
              </w:rPr>
              <w:t xml:space="preserve">Days 15–30</w:t>
            </w:r>
          </w:p>
        </w:tc>
        <w:tc>
          <w:tcPr>
            <w:tcW w:type="dxa" w:w="4200"/>
            <w:shd w:fill="F2F2F2" w:val="clear"/>
          </w:tcPr>
          <w:p>
            <w:r>
              <w:rPr>
                <w:color w:val="222222"/>
                <w:sz w:val="19"/>
                <w:szCs w:val="19"/>
              </w:rPr>
              <w:t xml:space="preserve">Soft-launch civic campaign messaging (Section 9.2) at ward level</w:t>
            </w:r>
          </w:p>
        </w:tc>
        <w:tc>
          <w:tcPr>
            <w:tcW w:type="dxa" w:w="3250"/>
            <w:shd w:fill="F2F2F2" w:val="clear"/>
          </w:tcPr>
          <w:p>
            <w:r>
              <w:rPr>
                <w:color w:val="222222"/>
                <w:sz w:val="19"/>
                <w:szCs w:val="19"/>
              </w:rPr>
              <w:t xml:space="preserve">Awareness and early household interest ahead of app launch</w:t>
            </w:r>
          </w:p>
        </w:tc>
      </w:tr>
      <w:tr>
        <w:tc>
          <w:tcPr>
            <w:tcW w:type="dxa" w:w="1900"/>
            <w:shd w:fill="FFFFFF" w:val="clear"/>
          </w:tcPr>
          <w:p>
            <w:r>
              <w:rPr>
                <w:color w:val="222222"/>
                <w:sz w:val="19"/>
                <w:szCs w:val="19"/>
              </w:rPr>
              <w:t xml:space="preserve">Days 30–45</w:t>
            </w:r>
          </w:p>
        </w:tc>
        <w:tc>
          <w:tcPr>
            <w:tcW w:type="dxa" w:w="4200"/>
            <w:shd w:fill="FFFFFF" w:val="clear"/>
          </w:tcPr>
          <w:p>
            <w:r>
              <w:rPr>
                <w:color w:val="222222"/>
                <w:sz w:val="19"/>
                <w:szCs w:val="19"/>
              </w:rPr>
              <w:t xml:space="preserve">Door-to-door onboarding by collection workers</w:t>
            </w:r>
          </w:p>
        </w:tc>
        <w:tc>
          <w:tcPr>
            <w:tcW w:type="dxa" w:w="3250"/>
            <w:shd w:fill="FFFFFF" w:val="clear"/>
          </w:tcPr>
          <w:p>
            <w:r>
              <w:rPr>
                <w:color w:val="222222"/>
                <w:sz w:val="19"/>
                <w:szCs w:val="19"/>
              </w:rPr>
              <w:t xml:space="preserve">Direct household sign-up, trust-building through the actual service team</w:t>
            </w:r>
          </w:p>
        </w:tc>
      </w:tr>
      <w:tr>
        <w:tc>
          <w:tcPr>
            <w:tcW w:type="dxa" w:w="1900"/>
            <w:shd w:fill="F2F2F2" w:val="clear"/>
          </w:tcPr>
          <w:p>
            <w:r>
              <w:rPr>
                <w:color w:val="222222"/>
                <w:sz w:val="19"/>
                <w:szCs w:val="19"/>
              </w:rPr>
              <w:t xml:space="preserve">Days 45–60</w:t>
            </w:r>
          </w:p>
        </w:tc>
        <w:tc>
          <w:tcPr>
            <w:tcW w:type="dxa" w:w="4200"/>
            <w:shd w:fill="F2F2F2" w:val="clear"/>
          </w:tcPr>
          <w:p>
            <w:r>
              <w:rPr>
                <w:color w:val="222222"/>
                <w:sz w:val="19"/>
                <w:szCs w:val="19"/>
              </w:rPr>
              <w:t xml:space="preserve">Local media / community WhatsApp group outreach</w:t>
            </w:r>
          </w:p>
        </w:tc>
        <w:tc>
          <w:tcPr>
            <w:tcW w:type="dxa" w:w="3250"/>
            <w:shd w:fill="F2F2F2" w:val="clear"/>
          </w:tcPr>
          <w:p>
            <w:r>
              <w:rPr>
                <w:color w:val="222222"/>
                <w:sz w:val="19"/>
                <w:szCs w:val="19"/>
              </w:rPr>
              <w:t xml:space="preserve">Word-of-mouth acquisition at low cost</w:t>
            </w:r>
          </w:p>
        </w:tc>
      </w:tr>
      <w:tr>
        <w:tc>
          <w:tcPr>
            <w:tcW w:type="dxa" w:w="1900"/>
            <w:shd w:fill="FFFFFF" w:val="clear"/>
          </w:tcPr>
          <w:p>
            <w:r>
              <w:rPr>
                <w:color w:val="222222"/>
                <w:sz w:val="19"/>
                <w:szCs w:val="19"/>
              </w:rPr>
              <w:t xml:space="preserve">Days 60–90</w:t>
            </w:r>
          </w:p>
        </w:tc>
        <w:tc>
          <w:tcPr>
            <w:tcW w:type="dxa" w:w="4200"/>
            <w:shd w:fill="FFFFFF" w:val="clear"/>
          </w:tcPr>
          <w:p>
            <w:r>
              <w:rPr>
                <w:color w:val="222222"/>
                <w:sz w:val="19"/>
                <w:szCs w:val="19"/>
              </w:rPr>
              <w:t xml:space="preserve">School and RWA segregation-education sessions</w:t>
            </w:r>
          </w:p>
        </w:tc>
        <w:tc>
          <w:tcPr>
            <w:tcW w:type="dxa" w:w="3250"/>
            <w:shd w:fill="FFFFFF" w:val="clear"/>
          </w:tcPr>
          <w:p>
            <w:r>
              <w:rPr>
                <w:color w:val="222222"/>
                <w:sz w:val="19"/>
                <w:szCs w:val="19"/>
              </w:rPr>
              <w:t xml:space="preserve">Reinforce segregation compliance ahead of metrics publication</w:t>
            </w:r>
          </w:p>
        </w:tc>
      </w:tr>
    </w:tbl>
    <w:p>
      <w:r>
        <w:br w:type="page"/>
      </w:r>
    </w:p>
    <w:p>
      <w:pPr>
        <w:pStyle w:val="Heading1"/>
        <w:spacing w:after="200" w:before="420"/>
      </w:pPr>
      <w:r>
        <w:rPr>
          <w:b/>
          <w:bCs/>
          <w:color w:val="1F3B4D"/>
          <w:sz w:val="30"/>
          <w:szCs w:val="30"/>
        </w:rPr>
        <w:t xml:space="preserve">10. Organisation, Team and Operations</w:t>
      </w:r>
    </w:p>
    <w:p>
      <w:pPr>
        <w:pStyle w:val="Heading2"/>
        <w:spacing w:after="150" w:before="300"/>
      </w:pPr>
      <w:r>
        <w:rPr>
          <w:b/>
          <w:bCs/>
          <w:color w:val="2E7D32"/>
          <w:sz w:val="24"/>
          <w:szCs w:val="24"/>
        </w:rPr>
        <w:t xml:space="preserve">10.1 Current team</w:t>
      </w:r>
    </w:p>
    <w:p>
      <w:pPr>
        <w:spacing w:after="160" w:line="276"/>
      </w:pPr>
      <w:r>
        <w:rPr>
          <w:color w:val="222222"/>
          <w:sz w:val="21"/>
          <w:szCs w:val="21"/>
        </w:rPr>
        <w:t xml:space="preserve">Shivam Yadav — Founder &amp; Technical Lead. B.Tech AI/ML (Lloyd Institute of Engineering and Technology, Greater Noida), Founder of Edwizer (an AI-driven edtech platform), and prior AI internship experience at VelocitiQ Technologies. Brings a build-fast, ship-production-ready operating style and direct experience building a prior civic-tech venture end to end, from business plan through branding and UI/UX specification.</w:t>
      </w:r>
    </w:p>
    <w:p>
      <w:pPr>
        <w:pBdr>
          <w:left w:val="single" w:color="C99A2E" w:sz="12" w:space="8"/>
        </w:pBdr>
        <w:shd w:fill="FFF7E0" w:val="clear"/>
        <w:spacing w:after="200" w:before="100"/>
      </w:pPr>
      <w:r>
        <w:rPr>
          <w:i/>
          <w:iCs/>
          <w:color w:val="6B5B10"/>
          <w:sz w:val="20"/>
          <w:szCs w:val="20"/>
        </w:rPr>
        <w:t xml:space="preserve">Financier reality check: a technical solo founder pitching an operations-heavy, worker-inclusive civic venture will be asked about the field-execution gap in the team, whether or not it's raised first. Before the first serious pitch, identify at least one advisor or early hire with direct ULB, sanitation-sector, or last-mile logistics experience — this single addition will do more for credibility than any slide in the deck.</w:t>
      </w:r>
    </w:p>
    <w:p>
      <w:pPr>
        <w:pStyle w:val="Heading2"/>
        <w:spacing w:after="150" w:before="300"/>
      </w:pPr>
      <w:r>
        <w:rPr>
          <w:b/>
          <w:bCs/>
          <w:color w:val="2E7D32"/>
          <w:sz w:val="24"/>
          <w:szCs w:val="24"/>
        </w:rPr>
        <w:t xml:space="preserve">10.2 Target advisory board</w:t>
      </w:r>
    </w:p>
    <w:p>
      <w:pPr>
        <w:spacing w:after="160" w:line="276"/>
      </w:pPr>
      <w:r>
        <w:rPr>
          <w:color w:val="222222"/>
          <w:sz w:val="21"/>
          <w:szCs w:val="21"/>
        </w:rPr>
        <w:t xml:space="preserve">Given the credibility gap named in Section 10.1, the plan targets a small, working advisory board rather than a large ceremonial one — people who close specific gaps, not names for a slide.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B4D" w:val="clear"/>
          </w:tcPr>
          <w:p>
            <w:r>
              <w:rPr>
                <w:b/>
                <w:bCs/>
                <w:color w:val="FFFFFF"/>
                <w:sz w:val="19"/>
                <w:szCs w:val="19"/>
              </w:rPr>
              <w:t xml:space="preserve">Advisor profile</w:t>
            </w:r>
          </w:p>
        </w:tc>
        <w:tc>
          <w:tcPr>
            <w:tcW w:type="dxa" w:w="5950"/>
            <w:shd w:fill="1F3B4D" w:val="clear"/>
          </w:tcPr>
          <w:p>
            <w:r>
              <w:rPr>
                <w:b/>
                <w:bCs/>
                <w:color w:val="FFFFFF"/>
                <w:sz w:val="19"/>
                <w:szCs w:val="19"/>
              </w:rPr>
              <w:t xml:space="preserve">Gap it closes</w:t>
            </w:r>
          </w:p>
        </w:tc>
      </w:tr>
      <w:tr>
        <w:tc>
          <w:tcPr>
            <w:tcW w:type="dxa" w:w="3400"/>
            <w:shd w:fill="FFFFFF" w:val="clear"/>
          </w:tcPr>
          <w:p>
            <w:r>
              <w:rPr>
                <w:color w:val="222222"/>
                <w:sz w:val="19"/>
                <w:szCs w:val="19"/>
              </w:rPr>
              <w:t xml:space="preserve">Former ULB / municipal SWM official</w:t>
            </w:r>
          </w:p>
        </w:tc>
        <w:tc>
          <w:tcPr>
            <w:tcW w:type="dxa" w:w="5950"/>
            <w:shd w:fill="FFFFFF" w:val="clear"/>
          </w:tcPr>
          <w:p>
            <w:r>
              <w:rPr>
                <w:color w:val="222222"/>
                <w:sz w:val="19"/>
                <w:szCs w:val="19"/>
              </w:rPr>
              <w:t xml:space="preserve">ULB relationship credibility and realistic read on procurement timelines</w:t>
            </w:r>
          </w:p>
        </w:tc>
      </w:tr>
      <w:tr>
        <w:tc>
          <w:tcPr>
            <w:tcW w:type="dxa" w:w="3400"/>
            <w:shd w:fill="F2F2F2" w:val="clear"/>
          </w:tcPr>
          <w:p>
            <w:r>
              <w:rPr>
                <w:color w:val="222222"/>
                <w:sz w:val="19"/>
                <w:szCs w:val="19"/>
              </w:rPr>
              <w:t xml:space="preserve">Operator from an existing waste-tech or recycling venture</w:t>
            </w:r>
          </w:p>
        </w:tc>
        <w:tc>
          <w:tcPr>
            <w:tcW w:type="dxa" w:w="5950"/>
            <w:shd w:fill="F2F2F2" w:val="clear"/>
          </w:tcPr>
          <w:p>
            <w:r>
              <w:rPr>
                <w:color w:val="222222"/>
                <w:sz w:val="19"/>
                <w:szCs w:val="19"/>
              </w:rPr>
              <w:t xml:space="preserve">Field-tested view on off-take pricing, contamination handling, and worker-ops pitfalls</w:t>
            </w:r>
          </w:p>
        </w:tc>
      </w:tr>
      <w:tr>
        <w:tc>
          <w:tcPr>
            <w:tcW w:type="dxa" w:w="3400"/>
            <w:shd w:fill="FFFFFF" w:val="clear"/>
          </w:tcPr>
          <w:p>
            <w:r>
              <w:rPr>
                <w:color w:val="222222"/>
                <w:sz w:val="19"/>
                <w:szCs w:val="19"/>
              </w:rPr>
              <w:t xml:space="preserve">Incubator/grant program mentor (e.g., via Swachhata Startup Challenge network)</w:t>
            </w:r>
          </w:p>
        </w:tc>
        <w:tc>
          <w:tcPr>
            <w:tcW w:type="dxa" w:w="5950"/>
            <w:shd w:fill="FFFFFF" w:val="clear"/>
          </w:tcPr>
          <w:p>
            <w:r>
              <w:rPr>
                <w:color w:val="222222"/>
                <w:sz w:val="19"/>
                <w:szCs w:val="19"/>
              </w:rPr>
              <w:t xml:space="preserve">Access to the grant funding pathway recommended in Section 11.7</w:t>
            </w:r>
          </w:p>
        </w:tc>
      </w:tr>
    </w:tbl>
    <w:p>
      <w:pPr>
        <w:pStyle w:val="Heading2"/>
        <w:spacing w:after="150" w:before="300"/>
      </w:pPr>
      <w:r>
        <w:rPr>
          <w:b/>
          <w:bCs/>
          <w:color w:val="2E7D32"/>
          <w:sz w:val="24"/>
          <w:szCs w:val="24"/>
        </w:rPr>
        <w:t xml:space="preserve">10.3 Hiring plan for the pilot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2100"/>
        <w:gridCol w:w="4800"/>
      </w:tblGrid>
      <w:tr>
        <w:trPr>
          <w:tblHeader/>
        </w:trPr>
        <w:tc>
          <w:tcPr>
            <w:tcW w:type="dxa" w:w="2450"/>
            <w:shd w:fill="1F3B4D" w:val="clear"/>
          </w:tcPr>
          <w:p>
            <w:r>
              <w:rPr>
                <w:b/>
                <w:bCs/>
                <w:color w:val="FFFFFF"/>
                <w:sz w:val="19"/>
                <w:szCs w:val="19"/>
              </w:rPr>
              <w:t xml:space="preserve">Role</w:t>
            </w:r>
          </w:p>
        </w:tc>
        <w:tc>
          <w:tcPr>
            <w:tcW w:type="dxa" w:w="2100"/>
            <w:shd w:fill="1F3B4D" w:val="clear"/>
          </w:tcPr>
          <w:p>
            <w:r>
              <w:rPr>
                <w:b/>
                <w:bCs/>
                <w:color w:val="FFFFFF"/>
                <w:sz w:val="19"/>
                <w:szCs w:val="19"/>
              </w:rPr>
              <w:t xml:space="preserve">When</w:t>
            </w:r>
          </w:p>
        </w:tc>
        <w:tc>
          <w:tcPr>
            <w:tcW w:type="dxa" w:w="4800"/>
            <w:shd w:fill="1F3B4D" w:val="clear"/>
          </w:tcPr>
          <w:p>
            <w:r>
              <w:rPr>
                <w:b/>
                <w:bCs/>
                <w:color w:val="FFFFFF"/>
                <w:sz w:val="19"/>
                <w:szCs w:val="19"/>
              </w:rPr>
              <w:t xml:space="preserve">Why this role, this early</w:t>
            </w:r>
          </w:p>
        </w:tc>
      </w:tr>
      <w:tr>
        <w:tc>
          <w:tcPr>
            <w:tcW w:type="dxa" w:w="2450"/>
            <w:shd w:fill="FFFFFF" w:val="clear"/>
          </w:tcPr>
          <w:p>
            <w:r>
              <w:rPr>
                <w:color w:val="222222"/>
                <w:sz w:val="19"/>
                <w:szCs w:val="19"/>
              </w:rPr>
              <w:t xml:space="preserve">Ward Operations Lead</w:t>
            </w:r>
          </w:p>
        </w:tc>
        <w:tc>
          <w:tcPr>
            <w:tcW w:type="dxa" w:w="2100"/>
            <w:shd w:fill="FFFFFF" w:val="clear"/>
          </w:tcPr>
          <w:p>
            <w:r>
              <w:rPr>
                <w:color w:val="222222"/>
                <w:sz w:val="19"/>
                <w:szCs w:val="19"/>
              </w:rPr>
              <w:t xml:space="preserve">Pre-launch (Days 1–30)</w:t>
            </w:r>
          </w:p>
        </w:tc>
        <w:tc>
          <w:tcPr>
            <w:tcW w:type="dxa" w:w="4800"/>
            <w:shd w:fill="FFFFFF" w:val="clear"/>
          </w:tcPr>
          <w:p>
            <w:r>
              <w:rPr>
                <w:color w:val="222222"/>
                <w:sz w:val="19"/>
                <w:szCs w:val="19"/>
              </w:rPr>
              <w:t xml:space="preserve">Owns councillor/RWA relationships and daily field operations — the single highest-risk gap identified in Section 10.1</w:t>
            </w:r>
          </w:p>
        </w:tc>
      </w:tr>
      <w:tr>
        <w:tc>
          <w:tcPr>
            <w:tcW w:type="dxa" w:w="2450"/>
            <w:shd w:fill="F2F2F2" w:val="clear"/>
          </w:tcPr>
          <w:p>
            <w:r>
              <w:rPr>
                <w:color w:val="222222"/>
                <w:sz w:val="19"/>
                <w:szCs w:val="19"/>
              </w:rPr>
              <w:t xml:space="preserve">Collection Workers (cohort of 8–12)</w:t>
            </w:r>
          </w:p>
        </w:tc>
        <w:tc>
          <w:tcPr>
            <w:tcW w:type="dxa" w:w="2100"/>
            <w:shd w:fill="F2F2F2" w:val="clear"/>
          </w:tcPr>
          <w:p>
            <w:r>
              <w:rPr>
                <w:color w:val="222222"/>
                <w:sz w:val="19"/>
                <w:szCs w:val="19"/>
              </w:rPr>
              <w:t xml:space="preserve">Days 15–30</w:t>
            </w:r>
          </w:p>
        </w:tc>
        <w:tc>
          <w:tcPr>
            <w:tcW w:type="dxa" w:w="4800"/>
            <w:shd w:fill="F2F2F2" w:val="clear"/>
          </w:tcPr>
          <w:p>
            <w:r>
              <w:rPr>
                <w:color w:val="222222"/>
                <w:sz w:val="19"/>
                <w:szCs w:val="19"/>
              </w:rPr>
              <w:t xml:space="preserve">Direct service delivery; hired with fair, transparent, verified-pay terms from day one, consistent with the brand promise</w:t>
            </w:r>
          </w:p>
        </w:tc>
      </w:tr>
      <w:tr>
        <w:tc>
          <w:tcPr>
            <w:tcW w:type="dxa" w:w="2450"/>
            <w:shd w:fill="FFFFFF" w:val="clear"/>
          </w:tcPr>
          <w:p>
            <w:r>
              <w:rPr>
                <w:color w:val="222222"/>
                <w:sz w:val="19"/>
                <w:szCs w:val="19"/>
              </w:rPr>
              <w:t xml:space="preserve">Hub Sorting Staff (2–3)</w:t>
            </w:r>
          </w:p>
        </w:tc>
        <w:tc>
          <w:tcPr>
            <w:tcW w:type="dxa" w:w="2100"/>
            <w:shd w:fill="FFFFFF" w:val="clear"/>
          </w:tcPr>
          <w:p>
            <w:r>
              <w:rPr>
                <w:color w:val="222222"/>
                <w:sz w:val="19"/>
                <w:szCs w:val="19"/>
              </w:rPr>
              <w:t xml:space="preserve">Days 30–45</w:t>
            </w:r>
          </w:p>
        </w:tc>
        <w:tc>
          <w:tcPr>
            <w:tcW w:type="dxa" w:w="4800"/>
            <w:shd w:fill="FFFFFF" w:val="clear"/>
          </w:tcPr>
          <w:p>
            <w:r>
              <w:rPr>
                <w:color w:val="222222"/>
                <w:sz w:val="19"/>
                <w:szCs w:val="19"/>
              </w:rPr>
              <w:t xml:space="preserve">Quality control on segregated streams before onward sale — protects the core promise to downstream buyers</w:t>
            </w:r>
          </w:p>
        </w:tc>
      </w:tr>
      <w:tr>
        <w:tc>
          <w:tcPr>
            <w:tcW w:type="dxa" w:w="2450"/>
            <w:shd w:fill="F2F2F2" w:val="clear"/>
          </w:tcPr>
          <w:p>
            <w:r>
              <w:rPr>
                <w:color w:val="222222"/>
                <w:sz w:val="19"/>
                <w:szCs w:val="19"/>
              </w:rPr>
              <w:t xml:space="preserve">App/Backend Developer (part-time or contract)</w:t>
            </w:r>
          </w:p>
        </w:tc>
        <w:tc>
          <w:tcPr>
            <w:tcW w:type="dxa" w:w="2100"/>
            <w:shd w:fill="F2F2F2" w:val="clear"/>
          </w:tcPr>
          <w:p>
            <w:r>
              <w:rPr>
                <w:color w:val="222222"/>
                <w:sz w:val="19"/>
                <w:szCs w:val="19"/>
              </w:rPr>
              <w:t xml:space="preserve">Days 1–30</w:t>
            </w:r>
          </w:p>
        </w:tc>
        <w:tc>
          <w:tcPr>
            <w:tcW w:type="dxa" w:w="4800"/>
            <w:shd w:fill="F2F2F2" w:val="clear"/>
          </w:tcPr>
          <w:p>
            <w:r>
              <w:rPr>
                <w:color w:val="222222"/>
                <w:sz w:val="19"/>
                <w:szCs w:val="19"/>
              </w:rPr>
              <w:t xml:space="preserve">Requestor and Worker app build-out and iteration</w:t>
            </w:r>
          </w:p>
        </w:tc>
      </w:tr>
      <w:tr>
        <w:tc>
          <w:tcPr>
            <w:tcW w:type="dxa" w:w="2450"/>
            <w:shd w:fill="FFFFFF" w:val="clear"/>
          </w:tcPr>
          <w:p>
            <w:r>
              <w:rPr>
                <w:color w:val="222222"/>
                <w:sz w:val="19"/>
                <w:szCs w:val="19"/>
              </w:rPr>
              <w:t xml:space="preserve">Advisor — SWM/ULB relations</w:t>
            </w:r>
          </w:p>
        </w:tc>
        <w:tc>
          <w:tcPr>
            <w:tcW w:type="dxa" w:w="2100"/>
            <w:shd w:fill="FFFFFF" w:val="clear"/>
          </w:tcPr>
          <w:p>
            <w:r>
              <w:rPr>
                <w:color w:val="222222"/>
                <w:sz w:val="19"/>
                <w:szCs w:val="19"/>
              </w:rPr>
              <w:t xml:space="preserve">Pre-launch, ideally before first pitch</w:t>
            </w:r>
          </w:p>
        </w:tc>
        <w:tc>
          <w:tcPr>
            <w:tcW w:type="dxa" w:w="4800"/>
            <w:shd w:fill="FFFFFF" w:val="clear"/>
          </w:tcPr>
          <w:p>
            <w:r>
              <w:rPr>
                <w:color w:val="222222"/>
                <w:sz w:val="19"/>
                <w:szCs w:val="19"/>
              </w:rPr>
              <w:t xml:space="preserve">Closes the credibility gap noted above; can often be sourced through incubator programs</w:t>
            </w:r>
          </w:p>
        </w:tc>
      </w:tr>
    </w:tbl>
    <w:p>
      <w:pPr>
        <w:pStyle w:val="Heading2"/>
        <w:spacing w:after="150" w:before="300"/>
      </w:pPr>
      <w:r>
        <w:rPr>
          <w:b/>
          <w:bCs/>
          <w:color w:val="2E7D32"/>
          <w:sz w:val="24"/>
          <w:szCs w:val="24"/>
        </w:rPr>
        <w:t xml:space="preserve">10.4 Organisational structure (Year 1 target)</w:t>
      </w:r>
    </w:p>
    <w:p>
      <w:pPr>
        <w:spacing w:after="160" w:line="276"/>
      </w:pPr>
      <w:r>
        <w:rPr>
          <w:color w:val="222222"/>
          <w:sz w:val="21"/>
          <w:szCs w:val="21"/>
        </w:rPr>
        <w:t xml:space="preserve">A lean, flat structure through Year 1: Founder oversees product/tech and fundraising; Ward Operations Lead oversees all field activity and reports directly to the Founder; Hub Sorting Staff and Collection Workers report to the Ward Operations Lead. This is intentionally kept simple — additional management layers are a Year 2+ problem, once multiple wards are running concurrently.</w:t>
      </w:r>
    </w:p>
    <w:p>
      <w:pPr>
        <w:pStyle w:val="Heading2"/>
        <w:spacing w:after="150" w:before="300"/>
      </w:pPr>
      <w:r>
        <w:rPr>
          <w:b/>
          <w:bCs/>
          <w:color w:val="2E7D32"/>
          <w:sz w:val="24"/>
          <w:szCs w:val="24"/>
        </w:rPr>
        <w:t xml:space="preserve">10.5 Daily operating workflow</w:t>
      </w:r>
    </w:p>
    <w:p>
      <w:pPr>
        <w:pStyle w:val="ListParagraph"/>
        <w:numPr>
          <w:ilvl w:val="0"/>
          <w:numId w:val="2"/>
        </w:numPr>
        <w:spacing w:after="90"/>
      </w:pPr>
      <w:r>
        <w:rPr>
          <w:color w:val="222222"/>
          <w:sz w:val="21"/>
          <w:szCs w:val="21"/>
        </w:rPr>
        <w:t xml:space="preserve">Morning: Collection workers follow app-assigned routes; segregation verified and logged (photo + weight) at each stop.</w:t>
      </w:r>
    </w:p>
    <w:p>
      <w:pPr>
        <w:pStyle w:val="ListParagraph"/>
        <w:numPr>
          <w:ilvl w:val="0"/>
          <w:numId w:val="2"/>
        </w:numPr>
        <w:spacing w:after="90"/>
      </w:pPr>
      <w:r>
        <w:rPr>
          <w:color w:val="222222"/>
          <w:sz w:val="21"/>
          <w:szCs w:val="21"/>
        </w:rPr>
        <w:t xml:space="preserve">Midday: Collected material delivered to the aggregation hub; sorting staff quality-check and consolidate by stream.</w:t>
      </w:r>
    </w:p>
    <w:p>
      <w:pPr>
        <w:pStyle w:val="ListParagraph"/>
        <w:numPr>
          <w:ilvl w:val="0"/>
          <w:numId w:val="2"/>
        </w:numPr>
        <w:spacing w:after="90"/>
      </w:pPr>
      <w:r>
        <w:rPr>
          <w:color w:val="222222"/>
          <w:sz w:val="21"/>
          <w:szCs w:val="21"/>
        </w:rPr>
        <w:t xml:space="preserve">Afternoon: Wet waste transferred to composting partner; dry recyclables batched for recycler pickup; non-recyclable dry waste stockpiled for RDF baling runs.</w:t>
      </w:r>
    </w:p>
    <w:p>
      <w:pPr>
        <w:pStyle w:val="ListParagraph"/>
        <w:numPr>
          <w:ilvl w:val="0"/>
          <w:numId w:val="2"/>
        </w:numPr>
        <w:spacing w:after="90"/>
      </w:pPr>
      <w:r>
        <w:rPr>
          <w:color w:val="222222"/>
          <w:sz w:val="21"/>
          <w:szCs w:val="21"/>
        </w:rPr>
        <w:t xml:space="preserve">Ongoing: Ward Operations Lead reviews daily segregation-compliance and route-completion data; household service issues triaged same-day where possible.</w:t>
      </w:r>
    </w:p>
    <w:p>
      <w:r>
        <w:br w:type="page"/>
      </w:r>
    </w:p>
    <w:p>
      <w:pPr>
        <w:pStyle w:val="Heading1"/>
        <w:spacing w:after="200" w:before="420"/>
      </w:pPr>
      <w:r>
        <w:rPr>
          <w:b/>
          <w:bCs/>
          <w:color w:val="1F3B4D"/>
          <w:sz w:val="30"/>
          <w:szCs w:val="30"/>
        </w:rPr>
        <w:t xml:space="preserve">11. Financial Plan</w:t>
      </w:r>
    </w:p>
    <w:p>
      <w:pPr>
        <w:pStyle w:val="Heading2"/>
        <w:spacing w:after="150" w:before="300"/>
      </w:pPr>
      <w:r>
        <w:rPr>
          <w:b/>
          <w:bCs/>
          <w:color w:val="2E7D32"/>
          <w:sz w:val="24"/>
          <w:szCs w:val="24"/>
        </w:rPr>
        <w:t xml:space="preserve">11.1 Assumptions (explicitly stated)</w:t>
      </w:r>
    </w:p>
    <w:p>
      <w:pPr>
        <w:pBdr>
          <w:left w:val="single" w:color="C99A2E" w:sz="12" w:space="8"/>
        </w:pBdr>
        <w:shd w:fill="FFF7E0" w:val="clear"/>
        <w:spacing w:after="200" w:before="100"/>
      </w:pPr>
      <w:r>
        <w:rPr>
          <w:i/>
          <w:iCs/>
          <w:color w:val="6B5B10"/>
          <w:sz w:val="20"/>
          <w:szCs w:val="20"/>
        </w:rPr>
        <w:t xml:space="preserve">These are modeled starting assumptions for pilot planning, not validated figures. They must be replaced with real numbers within 60 days of pilot launch and re-shared with any financier before a final ask is locked — presenting them as confirmed today would not survive diligence.</w:t>
      </w:r>
    </w:p>
    <w:p>
      <w:pPr>
        <w:pStyle w:val="ListParagraph"/>
        <w:numPr>
          <w:ilvl w:val="0"/>
          <w:numId w:val="2"/>
        </w:numPr>
        <w:spacing w:after="90"/>
      </w:pPr>
      <w:r>
        <w:rPr>
          <w:color w:val="222222"/>
          <w:sz w:val="21"/>
          <w:szCs w:val="21"/>
        </w:rPr>
        <w:t xml:space="preserve">Pilot scope: 2–3 wards, ~750 households average, phased in over Days 31–90, expanding toward 1,500–2,000 households by Month 6.</w:t>
      </w:r>
    </w:p>
    <w:p>
      <w:pPr>
        <w:pStyle w:val="ListParagraph"/>
        <w:numPr>
          <w:ilvl w:val="0"/>
          <w:numId w:val="2"/>
        </w:numPr>
        <w:spacing w:after="90"/>
      </w:pPr>
      <w:r>
        <w:rPr>
          <w:color w:val="222222"/>
          <w:sz w:val="21"/>
          <w:szCs w:val="21"/>
        </w:rPr>
        <w:t xml:space="preserve">Household service fee: modeled at a modest, price-sensitive monthly rate consistent with existing informal collection charges in Ghaziabad — to be confirmed via household willingness-to-pay interviews in Days 1–30.</w:t>
      </w:r>
    </w:p>
    <w:p>
      <w:pPr>
        <w:pStyle w:val="ListParagraph"/>
        <w:numPr>
          <w:ilvl w:val="0"/>
          <w:numId w:val="2"/>
        </w:numPr>
        <w:spacing w:after="90"/>
      </w:pPr>
      <w:r>
        <w:rPr>
          <w:color w:val="222222"/>
          <w:sz w:val="21"/>
          <w:szCs w:val="21"/>
        </w:rPr>
        <w:t xml:space="preserve">Compost and RDF off-take prices: to be confirmed by signed off-take partner agreements before the financial model is finalised — modeled prices should never be presented in a deck as contracted prices.</w:t>
      </w:r>
    </w:p>
    <w:p>
      <w:pPr>
        <w:pStyle w:val="ListParagraph"/>
        <w:numPr>
          <w:ilvl w:val="0"/>
          <w:numId w:val="2"/>
        </w:numPr>
        <w:spacing w:after="90"/>
      </w:pPr>
      <w:r>
        <w:rPr>
          <w:color w:val="222222"/>
          <w:sz w:val="21"/>
          <w:szCs w:val="21"/>
        </w:rPr>
        <w:t xml:space="preserve">Worker headcount scales roughly linearly with household count in the pilot phase; hub sorting/QC staffing scales in steps as tonnage crosses defined thresholds.</w:t>
      </w:r>
    </w:p>
    <w:p>
      <w:pPr>
        <w:pStyle w:val="Heading2"/>
        <w:spacing w:after="150" w:before="300"/>
      </w:pPr>
      <w:r>
        <w:rPr>
          <w:b/>
          <w:bCs/>
          <w:color w:val="2E7D32"/>
          <w:sz w:val="24"/>
          <w:szCs w:val="24"/>
        </w:rPr>
        <w:t xml:space="preserve">11.2 Year 1–3 indicative financial trajectory (modeled, pre-pilot-validation)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2300"/>
        <w:gridCol w:w="2300"/>
        <w:gridCol w:w="2300"/>
      </w:tblGrid>
      <w:tr>
        <w:trPr>
          <w:tblHeader/>
        </w:trPr>
        <w:tc>
          <w:tcPr>
            <w:tcW w:type="dxa" w:w="2450"/>
            <w:shd w:fill="1F3B4D" w:val="clear"/>
          </w:tcPr>
          <w:p>
            <w:r>
              <w:rPr>
                <w:b/>
                <w:bCs/>
                <w:color w:val="FFFFFF"/>
                <w:sz w:val="19"/>
                <w:szCs w:val="19"/>
              </w:rPr>
              <w:t xml:space="preserve">Metric</w:t>
            </w:r>
          </w:p>
        </w:tc>
        <w:tc>
          <w:tcPr>
            <w:tcW w:type="dxa" w:w="2300"/>
            <w:shd w:fill="1F3B4D" w:val="clear"/>
          </w:tcPr>
          <w:p>
            <w:r>
              <w:rPr>
                <w:b/>
                <w:bCs/>
                <w:color w:val="FFFFFF"/>
                <w:sz w:val="19"/>
                <w:szCs w:val="19"/>
              </w:rPr>
              <w:t xml:space="preserve">Year 1 (pilot + early expansion)</w:t>
            </w:r>
          </w:p>
        </w:tc>
        <w:tc>
          <w:tcPr>
            <w:tcW w:type="dxa" w:w="2300"/>
            <w:shd w:fill="1F3B4D" w:val="clear"/>
          </w:tcPr>
          <w:p>
            <w:r>
              <w:rPr>
                <w:b/>
                <w:bCs/>
                <w:color w:val="FFFFFF"/>
                <w:sz w:val="19"/>
                <w:szCs w:val="19"/>
              </w:rPr>
              <w:t xml:space="preserve">Year 2 (multi-ward)</w:t>
            </w:r>
          </w:p>
        </w:tc>
        <w:tc>
          <w:tcPr>
            <w:tcW w:type="dxa" w:w="2300"/>
            <w:shd w:fill="1F3B4D" w:val="clear"/>
          </w:tcPr>
          <w:p>
            <w:r>
              <w:rPr>
                <w:b/>
                <w:bCs/>
                <w:color w:val="FFFFFF"/>
                <w:sz w:val="19"/>
                <w:szCs w:val="19"/>
              </w:rPr>
              <w:t xml:space="preserve">Year 3 (ULB contract + Phase 2)</w:t>
            </w:r>
          </w:p>
        </w:tc>
      </w:tr>
      <w:tr>
        <w:tc>
          <w:tcPr>
            <w:tcW w:type="dxa" w:w="2450"/>
            <w:shd w:fill="FFFFFF" w:val="clear"/>
          </w:tcPr>
          <w:p>
            <w:r>
              <w:rPr>
                <w:color w:val="222222"/>
                <w:sz w:val="19"/>
                <w:szCs w:val="19"/>
              </w:rPr>
              <w:t xml:space="preserve">Households served (period end)</w:t>
            </w:r>
          </w:p>
        </w:tc>
        <w:tc>
          <w:tcPr>
            <w:tcW w:type="dxa" w:w="2300"/>
            <w:shd w:fill="FFFFFF" w:val="clear"/>
          </w:tcPr>
          <w:p>
            <w:r>
              <w:rPr>
                <w:color w:val="222222"/>
                <w:sz w:val="19"/>
                <w:szCs w:val="19"/>
              </w:rPr>
              <w:t xml:space="preserve">1,500–2,000</w:t>
            </w:r>
          </w:p>
        </w:tc>
        <w:tc>
          <w:tcPr>
            <w:tcW w:type="dxa" w:w="2300"/>
            <w:shd w:fill="FFFFFF" w:val="clear"/>
          </w:tcPr>
          <w:p>
            <w:r>
              <w:rPr>
                <w:color w:val="222222"/>
                <w:sz w:val="19"/>
                <w:szCs w:val="19"/>
              </w:rPr>
              <w:t xml:space="preserve">5,000–7,000</w:t>
            </w:r>
          </w:p>
        </w:tc>
        <w:tc>
          <w:tcPr>
            <w:tcW w:type="dxa" w:w="2300"/>
            <w:shd w:fill="FFFFFF" w:val="clear"/>
          </w:tcPr>
          <w:p>
            <w:r>
              <w:rPr>
                <w:color w:val="222222"/>
                <w:sz w:val="19"/>
                <w:szCs w:val="19"/>
              </w:rPr>
              <w:t xml:space="preserve">12,000–15,000+</w:t>
            </w:r>
          </w:p>
        </w:tc>
      </w:tr>
      <w:tr>
        <w:tc>
          <w:tcPr>
            <w:tcW w:type="dxa" w:w="2450"/>
            <w:shd w:fill="F2F2F2" w:val="clear"/>
          </w:tcPr>
          <w:p>
            <w:r>
              <w:rPr>
                <w:color w:val="222222"/>
                <w:sz w:val="19"/>
                <w:szCs w:val="19"/>
              </w:rPr>
              <w:t xml:space="preserve">Revenue streams active</w:t>
            </w:r>
          </w:p>
        </w:tc>
        <w:tc>
          <w:tcPr>
            <w:tcW w:type="dxa" w:w="2300"/>
            <w:shd w:fill="F2F2F2" w:val="clear"/>
          </w:tcPr>
          <w:p>
            <w:r>
              <w:rPr>
                <w:color w:val="222222"/>
                <w:sz w:val="19"/>
                <w:szCs w:val="19"/>
              </w:rPr>
              <w:t xml:space="preserve">Household fees, compost, recyclables</w:t>
            </w:r>
          </w:p>
        </w:tc>
        <w:tc>
          <w:tcPr>
            <w:tcW w:type="dxa" w:w="2300"/>
            <w:shd w:fill="F2F2F2" w:val="clear"/>
          </w:tcPr>
          <w:p>
            <w:r>
              <w:rPr>
                <w:color w:val="222222"/>
                <w:sz w:val="19"/>
                <w:szCs w:val="19"/>
              </w:rPr>
              <w:t xml:space="preserve">+ RDF sale at scale</w:t>
            </w:r>
          </w:p>
        </w:tc>
        <w:tc>
          <w:tcPr>
            <w:tcW w:type="dxa" w:w="2300"/>
            <w:shd w:fill="F2F2F2" w:val="clear"/>
          </w:tcPr>
          <w:p>
            <w:r>
              <w:rPr>
                <w:color w:val="222222"/>
                <w:sz w:val="19"/>
                <w:szCs w:val="19"/>
              </w:rPr>
              <w:t xml:space="preserve">+ ULB service contract; possible biomethanation revenue share</w:t>
            </w:r>
          </w:p>
        </w:tc>
      </w:tr>
      <w:tr>
        <w:tc>
          <w:tcPr>
            <w:tcW w:type="dxa" w:w="2450"/>
            <w:shd w:fill="FFFFFF" w:val="clear"/>
          </w:tcPr>
          <w:p>
            <w:r>
              <w:rPr>
                <w:color w:val="222222"/>
                <w:sz w:val="19"/>
                <w:szCs w:val="19"/>
              </w:rPr>
              <w:t xml:space="preserve">Primary cost drivers</w:t>
            </w:r>
          </w:p>
        </w:tc>
        <w:tc>
          <w:tcPr>
            <w:tcW w:type="dxa" w:w="2300"/>
            <w:shd w:fill="FFFFFF" w:val="clear"/>
          </w:tcPr>
          <w:p>
            <w:r>
              <w:rPr>
                <w:color w:val="222222"/>
                <w:sz w:val="19"/>
                <w:szCs w:val="19"/>
              </w:rPr>
              <w:t xml:space="preserve">Worker wages, app dev, hub setup</w:t>
            </w:r>
          </w:p>
        </w:tc>
        <w:tc>
          <w:tcPr>
            <w:tcW w:type="dxa" w:w="2300"/>
            <w:shd w:fill="FFFFFF" w:val="clear"/>
          </w:tcPr>
          <w:p>
            <w:r>
              <w:rPr>
                <w:color w:val="222222"/>
                <w:sz w:val="19"/>
                <w:szCs w:val="19"/>
              </w:rPr>
              <w:t xml:space="preserve">Worker wages at scale, hub expansion, ward onboarding</w:t>
            </w:r>
          </w:p>
        </w:tc>
        <w:tc>
          <w:tcPr>
            <w:tcW w:type="dxa" w:w="2300"/>
            <w:shd w:fill="FFFFFF" w:val="clear"/>
          </w:tcPr>
          <w:p>
            <w:r>
              <w:rPr>
                <w:color w:val="222222"/>
                <w:sz w:val="19"/>
                <w:szCs w:val="19"/>
              </w:rPr>
              <w:t xml:space="preserve">Contract compliance/reporting overhead, Phase 2 capital partner coordination</w:t>
            </w:r>
          </w:p>
        </w:tc>
      </w:tr>
      <w:tr>
        <w:tc>
          <w:tcPr>
            <w:tcW w:type="dxa" w:w="2450"/>
            <w:shd w:fill="F2F2F2" w:val="clear"/>
          </w:tcPr>
          <w:p>
            <w:r>
              <w:rPr>
                <w:color w:val="222222"/>
                <w:sz w:val="19"/>
                <w:szCs w:val="19"/>
              </w:rPr>
              <w:t xml:space="preserve">Funding stage appropriate to this point</w:t>
            </w:r>
          </w:p>
        </w:tc>
        <w:tc>
          <w:tcPr>
            <w:tcW w:type="dxa" w:w="2300"/>
            <w:shd w:fill="F2F2F2" w:val="clear"/>
          </w:tcPr>
          <w:p>
            <w:r>
              <w:rPr>
                <w:color w:val="222222"/>
                <w:sz w:val="19"/>
                <w:szCs w:val="19"/>
              </w:rPr>
              <w:t xml:space="preserve">Grant / incubator / impact-first capital</w:t>
            </w:r>
          </w:p>
        </w:tc>
        <w:tc>
          <w:tcPr>
            <w:tcW w:type="dxa" w:w="2300"/>
            <w:shd w:fill="F2F2F2" w:val="clear"/>
          </w:tcPr>
          <w:p>
            <w:r>
              <w:rPr>
                <w:color w:val="222222"/>
                <w:sz w:val="19"/>
                <w:szCs w:val="19"/>
              </w:rPr>
              <w:t xml:space="preserve">Impact capital or early equity, sized to validated unit economics</w:t>
            </w:r>
          </w:p>
        </w:tc>
        <w:tc>
          <w:tcPr>
            <w:tcW w:type="dxa" w:w="2300"/>
            <w:shd w:fill="F2F2F2" w:val="clear"/>
          </w:tcPr>
          <w:p>
            <w:r>
              <w:rPr>
                <w:color w:val="222222"/>
                <w:sz w:val="19"/>
                <w:szCs w:val="19"/>
              </w:rPr>
              <w:t xml:space="preserve">Equity round sized to multi-ward + ULB contract evidence</w:t>
            </w:r>
          </w:p>
        </w:tc>
      </w:tr>
    </w:tbl>
    <w:p>
      <w:pPr>
        <w:pBdr>
          <w:left w:val="single" w:color="C99A2E" w:sz="12" w:space="8"/>
        </w:pBdr>
        <w:shd w:fill="FFF7E0" w:val="clear"/>
        <w:spacing w:after="200" w:before="100"/>
      </w:pPr>
      <w:r>
        <w:rPr>
          <w:i/>
          <w:iCs/>
          <w:color w:val="6B5B10"/>
          <w:sz w:val="20"/>
          <w:szCs w:val="20"/>
        </w:rPr>
        <w:t xml:space="preserve">These are directional planning figures to structure conversations at each funding stage — not a substitute for a bottom-up model built on Days 1–30 audit data and signed off-take terms. Do not present Year 2–3 figures to a financier without the Year 1 pilot data behind them.</w:t>
      </w:r>
    </w:p>
    <w:p>
      <w:pPr>
        <w:pStyle w:val="Heading2"/>
        <w:spacing w:after="150" w:before="300"/>
      </w:pPr>
      <w:r>
        <w:rPr>
          <w:b/>
          <w:bCs/>
          <w:color w:val="2E7D32"/>
          <w:sz w:val="24"/>
          <w:szCs w:val="24"/>
        </w:rPr>
        <w:t xml:space="preserve">11.3 Use of funds — pilot tranche (indicative)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2350"/>
        <w:gridCol w:w="2400"/>
      </w:tblGrid>
      <w:tr>
        <w:trPr>
          <w:tblHeader/>
        </w:trPr>
        <w:tc>
          <w:tcPr>
            <w:tcW w:type="dxa" w:w="4600"/>
            <w:shd w:fill="1F3B4D" w:val="clear"/>
          </w:tcPr>
          <w:p>
            <w:r>
              <w:rPr>
                <w:b/>
                <w:bCs/>
                <w:color w:val="FFFFFF"/>
                <w:sz w:val="19"/>
                <w:szCs w:val="19"/>
              </w:rPr>
              <w:t xml:space="preserve">Category</w:t>
            </w:r>
          </w:p>
        </w:tc>
        <w:tc>
          <w:tcPr>
            <w:tcW w:type="dxa" w:w="2350"/>
            <w:shd w:fill="1F3B4D" w:val="clear"/>
          </w:tcPr>
          <w:p>
            <w:r>
              <w:rPr>
                <w:b/>
                <w:bCs/>
                <w:color w:val="FFFFFF"/>
                <w:sz w:val="19"/>
                <w:szCs w:val="19"/>
              </w:rPr>
              <w:t xml:space="preserve">Approx. share of ask</w:t>
            </w:r>
          </w:p>
        </w:tc>
        <w:tc>
          <w:tcPr>
            <w:tcW w:type="dxa" w:w="2400"/>
            <w:shd w:fill="1F3B4D" w:val="clear"/>
          </w:tcPr>
          <w:p>
            <w:r>
              <w:rPr>
                <w:b/>
                <w:bCs/>
                <w:color w:val="FFFFFF"/>
                <w:sz w:val="19"/>
                <w:szCs w:val="19"/>
              </w:rPr>
              <w:t xml:space="preserve">Notes</w:t>
            </w:r>
          </w:p>
        </w:tc>
      </w:tr>
      <w:tr>
        <w:tc>
          <w:tcPr>
            <w:tcW w:type="dxa" w:w="4600"/>
            <w:shd w:fill="FFFFFF" w:val="clear"/>
          </w:tcPr>
          <w:p>
            <w:r>
              <w:rPr>
                <w:color w:val="222222"/>
                <w:sz w:val="19"/>
                <w:szCs w:val="19"/>
              </w:rPr>
              <w:t xml:space="preserve">Collection operations (workers, e-carts, PPE)</w:t>
            </w:r>
          </w:p>
        </w:tc>
        <w:tc>
          <w:tcPr>
            <w:tcW w:type="dxa" w:w="2350"/>
            <w:shd w:fill="FFFFFF" w:val="clear"/>
          </w:tcPr>
          <w:p>
            <w:r>
              <w:rPr>
                <w:color w:val="222222"/>
                <w:sz w:val="19"/>
                <w:szCs w:val="19"/>
              </w:rPr>
              <w:t xml:space="preserve">40%</w:t>
            </w:r>
          </w:p>
        </w:tc>
        <w:tc>
          <w:tcPr>
            <w:tcW w:type="dxa" w:w="2400"/>
            <w:shd w:fill="FFFFFF" w:val="clear"/>
          </w:tcPr>
          <w:p>
            <w:r>
              <w:rPr>
                <w:color w:val="222222"/>
                <w:sz w:val="19"/>
                <w:szCs w:val="19"/>
              </w:rPr>
              <w:t xml:space="preserve">Largest cost driver in any collection model</w:t>
            </w:r>
          </w:p>
        </w:tc>
      </w:tr>
      <w:tr>
        <w:tc>
          <w:tcPr>
            <w:tcW w:type="dxa" w:w="4600"/>
            <w:shd w:fill="F2F2F2" w:val="clear"/>
          </w:tcPr>
          <w:p>
            <w:r>
              <w:rPr>
                <w:color w:val="222222"/>
                <w:sz w:val="19"/>
                <w:szCs w:val="19"/>
              </w:rPr>
              <w:t xml:space="preserve">App/tech development and maintenance</w:t>
            </w:r>
          </w:p>
        </w:tc>
        <w:tc>
          <w:tcPr>
            <w:tcW w:type="dxa" w:w="2350"/>
            <w:shd w:fill="F2F2F2" w:val="clear"/>
          </w:tcPr>
          <w:p>
            <w:r>
              <w:rPr>
                <w:color w:val="222222"/>
                <w:sz w:val="19"/>
                <w:szCs w:val="19"/>
              </w:rPr>
              <w:t xml:space="preserve">20%</w:t>
            </w:r>
          </w:p>
        </w:tc>
        <w:tc>
          <w:tcPr>
            <w:tcW w:type="dxa" w:w="2400"/>
            <w:shd w:fill="F2F2F2" w:val="clear"/>
          </w:tcPr>
          <w:p>
            <w:r>
              <w:rPr>
                <w:color w:val="222222"/>
                <w:sz w:val="19"/>
                <w:szCs w:val="19"/>
              </w:rPr>
              <w:t xml:space="preserve">Requestor app, worker app, verification tooling</w:t>
            </w:r>
          </w:p>
        </w:tc>
      </w:tr>
      <w:tr>
        <w:tc>
          <w:tcPr>
            <w:tcW w:type="dxa" w:w="4600"/>
            <w:shd w:fill="FFFFFF" w:val="clear"/>
          </w:tcPr>
          <w:p>
            <w:r>
              <w:rPr>
                <w:color w:val="222222"/>
                <w:sz w:val="19"/>
                <w:szCs w:val="19"/>
              </w:rPr>
              <w:t xml:space="preserve">Composting off-take setup / ward infrastructure</w:t>
            </w:r>
          </w:p>
        </w:tc>
        <w:tc>
          <w:tcPr>
            <w:tcW w:type="dxa" w:w="2350"/>
            <w:shd w:fill="FFFFFF" w:val="clear"/>
          </w:tcPr>
          <w:p>
            <w:r>
              <w:rPr>
                <w:color w:val="222222"/>
                <w:sz w:val="19"/>
                <w:szCs w:val="19"/>
              </w:rPr>
              <w:t xml:space="preserve">15%</w:t>
            </w:r>
          </w:p>
        </w:tc>
        <w:tc>
          <w:tcPr>
            <w:tcW w:type="dxa" w:w="2400"/>
            <w:shd w:fill="FFFFFF" w:val="clear"/>
          </w:tcPr>
          <w:p>
            <w:r>
              <w:rPr>
                <w:color w:val="222222"/>
                <w:sz w:val="19"/>
                <w:szCs w:val="19"/>
              </w:rPr>
              <w:t xml:space="preserve">Bins, aggregation points, transport to off-take partner</w:t>
            </w:r>
          </w:p>
        </w:tc>
      </w:tr>
      <w:tr>
        <w:tc>
          <w:tcPr>
            <w:tcW w:type="dxa" w:w="4600"/>
            <w:shd w:fill="F2F2F2" w:val="clear"/>
          </w:tcPr>
          <w:p>
            <w:r>
              <w:rPr>
                <w:color w:val="222222"/>
                <w:sz w:val="19"/>
                <w:szCs w:val="19"/>
              </w:rPr>
              <w:t xml:space="preserve">Ward-level partnerships &amp; community onboarding</w:t>
            </w:r>
          </w:p>
        </w:tc>
        <w:tc>
          <w:tcPr>
            <w:tcW w:type="dxa" w:w="2350"/>
            <w:shd w:fill="F2F2F2" w:val="clear"/>
          </w:tcPr>
          <w:p>
            <w:r>
              <w:rPr>
                <w:color w:val="222222"/>
                <w:sz w:val="19"/>
                <w:szCs w:val="19"/>
              </w:rPr>
              <w:t xml:space="preserve">10%</w:t>
            </w:r>
          </w:p>
        </w:tc>
        <w:tc>
          <w:tcPr>
            <w:tcW w:type="dxa" w:w="2400"/>
            <w:shd w:fill="F2F2F2" w:val="clear"/>
          </w:tcPr>
          <w:p>
            <w:r>
              <w:rPr>
                <w:color w:val="222222"/>
                <w:sz w:val="19"/>
                <w:szCs w:val="19"/>
              </w:rPr>
              <w:t xml:space="preserve">Councillor engagement, household onboarding, campaign costs</w:t>
            </w:r>
          </w:p>
        </w:tc>
      </w:tr>
      <w:tr>
        <w:tc>
          <w:tcPr>
            <w:tcW w:type="dxa" w:w="4600"/>
            <w:shd w:fill="FFFFFF" w:val="clear"/>
          </w:tcPr>
          <w:p>
            <w:r>
              <w:rPr>
                <w:color w:val="222222"/>
                <w:sz w:val="19"/>
                <w:szCs w:val="19"/>
              </w:rPr>
              <w:t xml:space="preserve">Working capital &amp; contingency</w:t>
            </w:r>
          </w:p>
        </w:tc>
        <w:tc>
          <w:tcPr>
            <w:tcW w:type="dxa" w:w="2350"/>
            <w:shd w:fill="FFFFFF" w:val="clear"/>
          </w:tcPr>
          <w:p>
            <w:r>
              <w:rPr>
                <w:color w:val="222222"/>
                <w:sz w:val="19"/>
                <w:szCs w:val="19"/>
              </w:rPr>
              <w:t xml:space="preserve">15%</w:t>
            </w:r>
          </w:p>
        </w:tc>
        <w:tc>
          <w:tcPr>
            <w:tcW w:type="dxa" w:w="2400"/>
            <w:shd w:fill="FFFFFF" w:val="clear"/>
          </w:tcPr>
          <w:p>
            <w:r>
              <w:rPr>
                <w:color w:val="222222"/>
                <w:sz w:val="19"/>
                <w:szCs w:val="19"/>
              </w:rPr>
              <w:t xml:space="preserve">Standard buffer for an unproven pilot</w:t>
            </w:r>
          </w:p>
        </w:tc>
      </w:tr>
    </w:tbl>
    <w:p>
      <w:pPr>
        <w:pStyle w:val="Heading2"/>
        <w:spacing w:after="150" w:before="300"/>
      </w:pPr>
      <w:r>
        <w:rPr>
          <w:b/>
          <w:bCs/>
          <w:color w:val="2E7D32"/>
          <w:sz w:val="24"/>
          <w:szCs w:val="24"/>
        </w:rPr>
        <w:t xml:space="preserve">11.4 Break-even logic</w:t>
      </w:r>
    </w:p>
    <w:p>
      <w:pPr>
        <w:spacing w:after="160" w:line="276"/>
      </w:pPr>
      <w:r>
        <w:rPr>
          <w:color w:val="222222"/>
          <w:sz w:val="21"/>
          <w:szCs w:val="21"/>
        </w:rPr>
        <w:t xml:space="preserve">Break-even at pilot scale depends on three variables the pilot itself will determine: household fee collection rate, segregation compliance rate (which drives recoverable-material revenue), and off-take pricing. Rather than presenting a single break-even month, the plan commits to publishing a break-even model, with sensitivity ranges across these three variables, by the end of the Days 61–90 pilot window — once the inputs are real rather than assumed.</w:t>
      </w:r>
    </w:p>
    <w:p>
      <w:pPr>
        <w:pStyle w:val="Heading2"/>
        <w:spacing w:after="150" w:before="300"/>
      </w:pPr>
      <w:r>
        <w:rPr>
          <w:b/>
          <w:bCs/>
          <w:color w:val="2E7D32"/>
          <w:sz w:val="24"/>
          <w:szCs w:val="24"/>
        </w:rPr>
        <w:t xml:space="preserve">11.5 Monthly pilot budget — Days 1–90 (indicative)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3000"/>
        <w:gridCol w:w="2000"/>
        <w:gridCol w:w="1900"/>
      </w:tblGrid>
      <w:tr>
        <w:trPr>
          <w:tblHeader/>
        </w:trPr>
        <w:tc>
          <w:tcPr>
            <w:tcW w:type="dxa" w:w="2450"/>
            <w:shd w:fill="1F3B4D" w:val="clear"/>
          </w:tcPr>
          <w:p>
            <w:r>
              <w:rPr>
                <w:b/>
                <w:bCs/>
                <w:color w:val="FFFFFF"/>
                <w:sz w:val="19"/>
                <w:szCs w:val="19"/>
              </w:rPr>
              <w:t xml:space="preserve">Month</w:t>
            </w:r>
          </w:p>
        </w:tc>
        <w:tc>
          <w:tcPr>
            <w:tcW w:type="dxa" w:w="3000"/>
            <w:shd w:fill="1F3B4D" w:val="clear"/>
          </w:tcPr>
          <w:p>
            <w:r>
              <w:rPr>
                <w:b/>
                <w:bCs/>
                <w:color w:val="FFFFFF"/>
                <w:sz w:val="19"/>
                <w:szCs w:val="19"/>
              </w:rPr>
              <w:t xml:space="preserve">Focus</w:t>
            </w:r>
          </w:p>
        </w:tc>
        <w:tc>
          <w:tcPr>
            <w:tcW w:type="dxa" w:w="2000"/>
            <w:shd w:fill="1F3B4D" w:val="clear"/>
          </w:tcPr>
          <w:p>
            <w:r>
              <w:rPr>
                <w:b/>
                <w:bCs/>
                <w:color w:val="FFFFFF"/>
                <w:sz w:val="19"/>
                <w:szCs w:val="19"/>
              </w:rPr>
              <w:t xml:space="preserve">Approx. spend share</w:t>
            </w:r>
          </w:p>
        </w:tc>
        <w:tc>
          <w:tcPr>
            <w:tcW w:type="dxa" w:w="1900"/>
            <w:shd w:fill="1F3B4D" w:val="clear"/>
          </w:tcPr>
          <w:p>
            <w:r>
              <w:rPr>
                <w:b/>
                <w:bCs/>
                <w:color w:val="FFFFFF"/>
                <w:sz w:val="19"/>
                <w:szCs w:val="19"/>
              </w:rPr>
              <w:t xml:space="preserve">Key deliverable</w:t>
            </w:r>
          </w:p>
        </w:tc>
      </w:tr>
      <w:tr>
        <w:tc>
          <w:tcPr>
            <w:tcW w:type="dxa" w:w="2450"/>
            <w:shd w:fill="FFFFFF" w:val="clear"/>
          </w:tcPr>
          <w:p>
            <w:r>
              <w:rPr>
                <w:color w:val="222222"/>
                <w:sz w:val="19"/>
                <w:szCs w:val="19"/>
              </w:rPr>
              <w:t xml:space="preserve">Month 1 (Days 1–30)</w:t>
            </w:r>
          </w:p>
        </w:tc>
        <w:tc>
          <w:tcPr>
            <w:tcW w:type="dxa" w:w="3000"/>
            <w:shd w:fill="FFFFFF" w:val="clear"/>
          </w:tcPr>
          <w:p>
            <w:r>
              <w:rPr>
                <w:color w:val="222222"/>
                <w:sz w:val="19"/>
                <w:szCs w:val="19"/>
              </w:rPr>
              <w:t xml:space="preserve">Ward audit, hiring, partner setup</w:t>
            </w:r>
          </w:p>
        </w:tc>
        <w:tc>
          <w:tcPr>
            <w:tcW w:type="dxa" w:w="2000"/>
            <w:shd w:fill="FFFFFF" w:val="clear"/>
          </w:tcPr>
          <w:p>
            <w:r>
              <w:rPr>
                <w:color w:val="222222"/>
                <w:sz w:val="19"/>
                <w:szCs w:val="19"/>
              </w:rPr>
              <w:t xml:space="preserve">30%</w:t>
            </w:r>
          </w:p>
        </w:tc>
        <w:tc>
          <w:tcPr>
            <w:tcW w:type="dxa" w:w="1900"/>
            <w:shd w:fill="FFFFFF" w:val="clear"/>
          </w:tcPr>
          <w:p>
            <w:r>
              <w:rPr>
                <w:color w:val="222222"/>
                <w:sz w:val="19"/>
                <w:szCs w:val="19"/>
              </w:rPr>
              <w:t xml:space="preserve">Signed composting off-take partner; first worker cohort onboarded</w:t>
            </w:r>
          </w:p>
        </w:tc>
      </w:tr>
      <w:tr>
        <w:tc>
          <w:tcPr>
            <w:tcW w:type="dxa" w:w="2450"/>
            <w:shd w:fill="F2F2F2" w:val="clear"/>
          </w:tcPr>
          <w:p>
            <w:r>
              <w:rPr>
                <w:color w:val="222222"/>
                <w:sz w:val="19"/>
                <w:szCs w:val="19"/>
              </w:rPr>
              <w:t xml:space="preserve">Month 2 (Days 31–60)</w:t>
            </w:r>
          </w:p>
        </w:tc>
        <w:tc>
          <w:tcPr>
            <w:tcW w:type="dxa" w:w="3000"/>
            <w:shd w:fill="F2F2F2" w:val="clear"/>
          </w:tcPr>
          <w:p>
            <w:r>
              <w:rPr>
                <w:color w:val="222222"/>
                <w:sz w:val="19"/>
                <w:szCs w:val="19"/>
              </w:rPr>
              <w:t xml:space="preserve">App launch, household onboarding</w:t>
            </w:r>
          </w:p>
        </w:tc>
        <w:tc>
          <w:tcPr>
            <w:tcW w:type="dxa" w:w="2000"/>
            <w:shd w:fill="F2F2F2" w:val="clear"/>
          </w:tcPr>
          <w:p>
            <w:r>
              <w:rPr>
                <w:color w:val="222222"/>
                <w:sz w:val="19"/>
                <w:szCs w:val="19"/>
              </w:rPr>
              <w:t xml:space="preserve">35%</w:t>
            </w:r>
          </w:p>
        </w:tc>
        <w:tc>
          <w:tcPr>
            <w:tcW w:type="dxa" w:w="1900"/>
            <w:shd w:fill="F2F2F2" w:val="clear"/>
          </w:tcPr>
          <w:p>
            <w:r>
              <w:rPr>
                <w:color w:val="222222"/>
                <w:sz w:val="19"/>
                <w:szCs w:val="19"/>
              </w:rPr>
              <w:t xml:space="preserve">500–1,000 households live on Requestor App</w:t>
            </w:r>
          </w:p>
        </w:tc>
      </w:tr>
      <w:tr>
        <w:tc>
          <w:tcPr>
            <w:tcW w:type="dxa" w:w="2450"/>
            <w:shd w:fill="FFFFFF" w:val="clear"/>
          </w:tcPr>
          <w:p>
            <w:r>
              <w:rPr>
                <w:color w:val="222222"/>
                <w:sz w:val="19"/>
                <w:szCs w:val="19"/>
              </w:rPr>
              <w:t xml:space="preserve">Month 3 (Days 61–90)</w:t>
            </w:r>
          </w:p>
        </w:tc>
        <w:tc>
          <w:tcPr>
            <w:tcW w:type="dxa" w:w="3000"/>
            <w:shd w:fill="FFFFFF" w:val="clear"/>
          </w:tcPr>
          <w:p>
            <w:r>
              <w:rPr>
                <w:color w:val="222222"/>
                <w:sz w:val="19"/>
                <w:szCs w:val="19"/>
              </w:rPr>
              <w:t xml:space="preserve">Full stream operation, metrics</w:t>
            </w:r>
          </w:p>
        </w:tc>
        <w:tc>
          <w:tcPr>
            <w:tcW w:type="dxa" w:w="2000"/>
            <w:shd w:fill="FFFFFF" w:val="clear"/>
          </w:tcPr>
          <w:p>
            <w:r>
              <w:rPr>
                <w:color w:val="222222"/>
                <w:sz w:val="19"/>
                <w:szCs w:val="19"/>
              </w:rPr>
              <w:t xml:space="preserve">35%</w:t>
            </w:r>
          </w:p>
        </w:tc>
        <w:tc>
          <w:tcPr>
            <w:tcW w:type="dxa" w:w="1900"/>
            <w:shd w:fill="FFFFFF" w:val="clear"/>
          </w:tcPr>
          <w:p>
            <w:r>
              <w:rPr>
                <w:color w:val="222222"/>
                <w:sz w:val="19"/>
                <w:szCs w:val="19"/>
              </w:rPr>
              <w:t xml:space="preserve">All three revenue streams live; pilot metrics report published</w:t>
            </w:r>
          </w:p>
        </w:tc>
      </w:tr>
    </w:tbl>
    <w:p>
      <w:pPr>
        <w:pStyle w:val="Heading2"/>
        <w:spacing w:after="150" w:before="300"/>
      </w:pPr>
      <w:r>
        <w:rPr>
          <w:b/>
          <w:bCs/>
          <w:color w:val="2E7D32"/>
          <w:sz w:val="24"/>
          <w:szCs w:val="24"/>
        </w:rPr>
        <w:t xml:space="preserve">11.6 Sensitivity analysis — what moves the model most</w:t>
      </w:r>
    </w:p>
    <w:p>
      <w:pPr>
        <w:spacing w:after="160" w:line="276"/>
      </w:pPr>
      <w:r>
        <w:rPr>
          <w:color w:val="222222"/>
          <w:sz w:val="21"/>
          <w:szCs w:val="21"/>
        </w:rPr>
        <w:t xml:space="preserve">Rather than presenting a single financial scenario as fact, the plan is explicit about which inputs matter most, so a financier can see exactly what pilot data will confirm or break the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2050"/>
        <w:gridCol w:w="1750"/>
        <w:gridCol w:w="1750"/>
        <w:gridCol w:w="1350"/>
      </w:tblGrid>
      <w:tr>
        <w:trPr>
          <w:tblHeader/>
        </w:trPr>
        <w:tc>
          <w:tcPr>
            <w:tcW w:type="dxa" w:w="2450"/>
            <w:shd w:fill="1F3B4D" w:val="clear"/>
          </w:tcPr>
          <w:p>
            <w:r>
              <w:rPr>
                <w:b/>
                <w:bCs/>
                <w:color w:val="FFFFFF"/>
                <w:sz w:val="19"/>
                <w:szCs w:val="19"/>
              </w:rPr>
              <w:t xml:space="preserve">Variable</w:t>
            </w:r>
          </w:p>
        </w:tc>
        <w:tc>
          <w:tcPr>
            <w:tcW w:type="dxa" w:w="2050"/>
            <w:shd w:fill="1F3B4D" w:val="clear"/>
          </w:tcPr>
          <w:p>
            <w:r>
              <w:rPr>
                <w:b/>
                <w:bCs/>
                <w:color w:val="FFFFFF"/>
                <w:sz w:val="19"/>
                <w:szCs w:val="19"/>
              </w:rPr>
              <w:t xml:space="preserve">Downside case</w:t>
            </w:r>
          </w:p>
        </w:tc>
        <w:tc>
          <w:tcPr>
            <w:tcW w:type="dxa" w:w="1750"/>
            <w:shd w:fill="1F3B4D" w:val="clear"/>
          </w:tcPr>
          <w:p>
            <w:r>
              <w:rPr>
                <w:b/>
                <w:bCs/>
                <w:color w:val="FFFFFF"/>
                <w:sz w:val="19"/>
                <w:szCs w:val="19"/>
              </w:rPr>
              <w:t xml:space="preserve">Base case</w:t>
            </w:r>
          </w:p>
        </w:tc>
        <w:tc>
          <w:tcPr>
            <w:tcW w:type="dxa" w:w="1750"/>
            <w:shd w:fill="1F3B4D" w:val="clear"/>
          </w:tcPr>
          <w:p>
            <w:r>
              <w:rPr>
                <w:b/>
                <w:bCs/>
                <w:color w:val="FFFFFF"/>
                <w:sz w:val="19"/>
                <w:szCs w:val="19"/>
              </w:rPr>
              <w:t xml:space="preserve">Upside case</w:t>
            </w:r>
          </w:p>
        </w:tc>
        <w:tc>
          <w:tcPr>
            <w:tcW w:type="dxa" w:w="1350"/>
            <w:shd w:fill="1F3B4D" w:val="clear"/>
          </w:tcPr>
          <w:p>
            <w:r>
              <w:rPr>
                <w:b/>
                <w:bCs/>
                <w:color w:val="FFFFFF"/>
                <w:sz w:val="19"/>
                <w:szCs w:val="19"/>
              </w:rPr>
              <w:t xml:space="preserve">Why it matters most</w:t>
            </w:r>
          </w:p>
        </w:tc>
      </w:tr>
      <w:tr>
        <w:tc>
          <w:tcPr>
            <w:tcW w:type="dxa" w:w="2450"/>
            <w:shd w:fill="FFFFFF" w:val="clear"/>
          </w:tcPr>
          <w:p>
            <w:r>
              <w:rPr>
                <w:color w:val="222222"/>
                <w:sz w:val="19"/>
                <w:szCs w:val="19"/>
              </w:rPr>
              <w:t xml:space="preserve">Segregation compliance rate</w:t>
            </w:r>
          </w:p>
        </w:tc>
        <w:tc>
          <w:tcPr>
            <w:tcW w:type="dxa" w:w="2050"/>
            <w:shd w:fill="FFFFFF" w:val="clear"/>
          </w:tcPr>
          <w:p>
            <w:r>
              <w:rPr>
                <w:color w:val="222222"/>
                <w:sz w:val="19"/>
                <w:szCs w:val="19"/>
              </w:rPr>
              <w:t xml:space="preserve">&lt;50%</w:t>
            </w:r>
          </w:p>
        </w:tc>
        <w:tc>
          <w:tcPr>
            <w:tcW w:type="dxa" w:w="1750"/>
            <w:shd w:fill="FFFFFF" w:val="clear"/>
          </w:tcPr>
          <w:p>
            <w:r>
              <w:rPr>
                <w:color w:val="222222"/>
                <w:sz w:val="19"/>
                <w:szCs w:val="19"/>
              </w:rPr>
              <w:t xml:space="preserve">65–75%</w:t>
            </w:r>
          </w:p>
        </w:tc>
        <w:tc>
          <w:tcPr>
            <w:tcW w:type="dxa" w:w="1750"/>
            <w:shd w:fill="FFFFFF" w:val="clear"/>
          </w:tcPr>
          <w:p>
            <w:r>
              <w:rPr>
                <w:color w:val="222222"/>
                <w:sz w:val="19"/>
                <w:szCs w:val="19"/>
              </w:rPr>
              <w:t xml:space="preserve">&gt;85%</w:t>
            </w:r>
          </w:p>
        </w:tc>
        <w:tc>
          <w:tcPr>
            <w:tcW w:type="dxa" w:w="1350"/>
            <w:shd w:fill="FFFFFF" w:val="clear"/>
          </w:tcPr>
          <w:p>
            <w:r>
              <w:rPr>
                <w:color w:val="222222"/>
                <w:sz w:val="19"/>
                <w:szCs w:val="19"/>
              </w:rPr>
              <w:t xml:space="preserve">Directly determines recoverable-material revenue quality and downstream buyer trust</w:t>
            </w:r>
          </w:p>
        </w:tc>
      </w:tr>
      <w:tr>
        <w:tc>
          <w:tcPr>
            <w:tcW w:type="dxa" w:w="2450"/>
            <w:shd w:fill="F2F2F2" w:val="clear"/>
          </w:tcPr>
          <w:p>
            <w:r>
              <w:rPr>
                <w:color w:val="222222"/>
                <w:sz w:val="19"/>
                <w:szCs w:val="19"/>
              </w:rPr>
              <w:t xml:space="preserve">Household fee collection rate</w:t>
            </w:r>
          </w:p>
        </w:tc>
        <w:tc>
          <w:tcPr>
            <w:tcW w:type="dxa" w:w="2050"/>
            <w:shd w:fill="F2F2F2" w:val="clear"/>
          </w:tcPr>
          <w:p>
            <w:r>
              <w:rPr>
                <w:color w:val="222222"/>
                <w:sz w:val="19"/>
                <w:szCs w:val="19"/>
              </w:rPr>
              <w:t xml:space="preserve">&lt;70%</w:t>
            </w:r>
          </w:p>
        </w:tc>
        <w:tc>
          <w:tcPr>
            <w:tcW w:type="dxa" w:w="1750"/>
            <w:shd w:fill="F2F2F2" w:val="clear"/>
          </w:tcPr>
          <w:p>
            <w:r>
              <w:rPr>
                <w:color w:val="222222"/>
                <w:sz w:val="19"/>
                <w:szCs w:val="19"/>
              </w:rPr>
              <w:t xml:space="preserve">85–90%</w:t>
            </w:r>
          </w:p>
        </w:tc>
        <w:tc>
          <w:tcPr>
            <w:tcW w:type="dxa" w:w="1750"/>
            <w:shd w:fill="F2F2F2" w:val="clear"/>
          </w:tcPr>
          <w:p>
            <w:r>
              <w:rPr>
                <w:color w:val="222222"/>
                <w:sz w:val="19"/>
                <w:szCs w:val="19"/>
              </w:rPr>
              <w:t xml:space="preserve">&gt;95%</w:t>
            </w:r>
          </w:p>
        </w:tc>
        <w:tc>
          <w:tcPr>
            <w:tcW w:type="dxa" w:w="1350"/>
            <w:shd w:fill="F2F2F2" w:val="clear"/>
          </w:tcPr>
          <w:p>
            <w:r>
              <w:rPr>
                <w:color w:val="222222"/>
                <w:sz w:val="19"/>
                <w:szCs w:val="19"/>
              </w:rPr>
              <w:t xml:space="preserve">Determines whether B2C revenue alone can cover collection wage costs</w:t>
            </w:r>
          </w:p>
        </w:tc>
      </w:tr>
      <w:tr>
        <w:tc>
          <w:tcPr>
            <w:tcW w:type="dxa" w:w="2450"/>
            <w:shd w:fill="FFFFFF" w:val="clear"/>
          </w:tcPr>
          <w:p>
            <w:r>
              <w:rPr>
                <w:color w:val="222222"/>
                <w:sz w:val="19"/>
                <w:szCs w:val="19"/>
              </w:rPr>
              <w:t xml:space="preserve">Compost/recyclables off-take price</w:t>
            </w:r>
          </w:p>
        </w:tc>
        <w:tc>
          <w:tcPr>
            <w:tcW w:type="dxa" w:w="2050"/>
            <w:shd w:fill="FFFFFF" w:val="clear"/>
          </w:tcPr>
          <w:p>
            <w:r>
              <w:rPr>
                <w:color w:val="222222"/>
                <w:sz w:val="19"/>
                <w:szCs w:val="19"/>
              </w:rPr>
              <w:t xml:space="preserve">Below modeled floor</w:t>
            </w:r>
          </w:p>
        </w:tc>
        <w:tc>
          <w:tcPr>
            <w:tcW w:type="dxa" w:w="1750"/>
            <w:shd w:fill="FFFFFF" w:val="clear"/>
          </w:tcPr>
          <w:p>
            <w:r>
              <w:rPr>
                <w:color w:val="222222"/>
                <w:sz w:val="19"/>
                <w:szCs w:val="19"/>
              </w:rPr>
              <w:t xml:space="preserve">As modeled</w:t>
            </w:r>
          </w:p>
        </w:tc>
        <w:tc>
          <w:tcPr>
            <w:tcW w:type="dxa" w:w="1750"/>
            <w:shd w:fill="FFFFFF" w:val="clear"/>
          </w:tcPr>
          <w:p>
            <w:r>
              <w:rPr>
                <w:color w:val="222222"/>
                <w:sz w:val="19"/>
                <w:szCs w:val="19"/>
              </w:rPr>
              <w:t xml:space="preserve">Above modeled floor</w:t>
            </w:r>
          </w:p>
        </w:tc>
        <w:tc>
          <w:tcPr>
            <w:tcW w:type="dxa" w:w="1350"/>
            <w:shd w:fill="FFFFFF" w:val="clear"/>
          </w:tcPr>
          <w:p>
            <w:r>
              <w:rPr>
                <w:color w:val="222222"/>
                <w:sz w:val="19"/>
                <w:szCs w:val="19"/>
              </w:rPr>
              <w:t xml:space="preserve">Commodity-linked; outside Swachta's direct control, mitigated by diversification (Section 11.1)</w:t>
            </w:r>
          </w:p>
        </w:tc>
      </w:tr>
      <w:tr>
        <w:tc>
          <w:tcPr>
            <w:tcW w:type="dxa" w:w="2450"/>
            <w:shd w:fill="F2F2F2" w:val="clear"/>
          </w:tcPr>
          <w:p>
            <w:r>
              <w:rPr>
                <w:color w:val="222222"/>
                <w:sz w:val="19"/>
                <w:szCs w:val="19"/>
              </w:rPr>
              <w:t xml:space="preserve">Worker retention</w:t>
            </w:r>
          </w:p>
        </w:tc>
        <w:tc>
          <w:tcPr>
            <w:tcW w:type="dxa" w:w="2050"/>
            <w:shd w:fill="F2F2F2" w:val="clear"/>
          </w:tcPr>
          <w:p>
            <w:r>
              <w:rPr>
                <w:color w:val="222222"/>
                <w:sz w:val="19"/>
                <w:szCs w:val="19"/>
              </w:rPr>
              <w:t xml:space="preserve">High turnover, frequent re-hiring cost</w:t>
            </w:r>
          </w:p>
        </w:tc>
        <w:tc>
          <w:tcPr>
            <w:tcW w:type="dxa" w:w="1750"/>
            <w:shd w:fill="F2F2F2" w:val="clear"/>
          </w:tcPr>
          <w:p>
            <w:r>
              <w:rPr>
                <w:color w:val="222222"/>
                <w:sz w:val="19"/>
                <w:szCs w:val="19"/>
              </w:rPr>
              <w:t xml:space="preserve">Stable core team</w:t>
            </w:r>
          </w:p>
        </w:tc>
        <w:tc>
          <w:tcPr>
            <w:tcW w:type="dxa" w:w="1750"/>
            <w:shd w:fill="F2F2F2" w:val="clear"/>
          </w:tcPr>
          <w:p>
            <w:r>
              <w:rPr>
                <w:color w:val="222222"/>
                <w:sz w:val="19"/>
                <w:szCs w:val="19"/>
              </w:rPr>
              <w:t xml:space="preserve">Low turnover, route efficiency gains</w:t>
            </w:r>
          </w:p>
        </w:tc>
        <w:tc>
          <w:tcPr>
            <w:tcW w:type="dxa" w:w="1350"/>
            <w:shd w:fill="F2F2F2" w:val="clear"/>
          </w:tcPr>
          <w:p>
            <w:r>
              <w:rPr>
                <w:color w:val="222222"/>
                <w:sz w:val="19"/>
                <w:szCs w:val="19"/>
              </w:rPr>
              <w:t xml:space="preserve">Route disruption directly affects both collection reliability and cost per household</w:t>
            </w:r>
          </w:p>
        </w:tc>
      </w:tr>
    </w:tbl>
    <w:p>
      <w:pPr>
        <w:pBdr>
          <w:left w:val="single" w:color="C99A2E" w:sz="12" w:space="8"/>
        </w:pBdr>
        <w:shd w:fill="FFF7E0" w:val="clear"/>
        <w:spacing w:after="200" w:before="100"/>
      </w:pPr>
      <w:r>
        <w:rPr>
          <w:i/>
          <w:iCs/>
          <w:color w:val="6B5B10"/>
          <w:sz w:val="20"/>
          <w:szCs w:val="20"/>
        </w:rPr>
        <w:t xml:space="preserve">This sensitivity table — not a single break-even month — is what should go in front of a financier before pilot data exists. It shows the plan understands its own uncertainty rather than hiding it.</w:t>
      </w:r>
    </w:p>
    <w:p>
      <w:pPr>
        <w:pStyle w:val="Heading2"/>
        <w:spacing w:after="150" w:before="300"/>
      </w:pPr>
      <w:r>
        <w:rPr>
          <w:b/>
          <w:bCs/>
          <w:color w:val="2E7D32"/>
          <w:sz w:val="24"/>
          <w:szCs w:val="24"/>
        </w:rPr>
        <w:t xml:space="preserve">11.7 Recommended funding sequencing</w:t>
      </w:r>
    </w:p>
    <w:p>
      <w:pPr>
        <w:spacing w:after="160" w:line="276"/>
      </w:pPr>
      <w:r>
        <w:rPr>
          <w:color w:val="222222"/>
          <w:sz w:val="21"/>
          <w:szCs w:val="21"/>
        </w:rPr>
        <w:t xml:space="preserve">Given no live traction yet, the recommended sequence is: (1) grant or incubator capital — for example, programs under the Swachh Bharat Mission-Urban's Swachhata Startup Challenge, which has offered roughly Rs 20 lakh grants plus ULB introductions and IIT Kanpur incubation support — to fund the pilot without giving up equity on an unproven model; (2) impact/CSR capital once pilot metrics exist, sized to fund ward-by-ward expansion; (3) equity/VC capital only once unit economics across at least one full quarter are demonstrated. This plan supports conversations at any of these three stages, but the founder should be explicit with each financier about which stage is being pitched — mixing the framing across stages is the fastest way to lose credibility with any one of them.</w:t>
      </w:r>
    </w:p>
    <w:p>
      <w:r>
        <w:br w:type="page"/>
      </w:r>
    </w:p>
    <w:p>
      <w:pPr>
        <w:pStyle w:val="Heading1"/>
        <w:spacing w:after="200" w:before="420"/>
      </w:pPr>
      <w:r>
        <w:rPr>
          <w:b/>
          <w:bCs/>
          <w:color w:val="1F3B4D"/>
          <w:sz w:val="30"/>
          <w:szCs w:val="30"/>
        </w:rPr>
        <w:t xml:space="preserve">12. Comparable Models and Lessons</w:t>
      </w:r>
    </w:p>
    <w:p>
      <w:pPr>
        <w:spacing w:after="160" w:line="276"/>
      </w:pPr>
      <w:r>
        <w:rPr>
          <w:color w:val="222222"/>
          <w:sz w:val="21"/>
          <w:szCs w:val="21"/>
        </w:rPr>
        <w:t xml:space="preserve">Swachta is not the first attempt to fix this problem, and the plan is stronger for learning from what has and hasn't worked elsewhere in India rather than treating the pilot as a blank slate.</w:t>
      </w:r>
    </w:p>
    <w:p>
      <w:pPr>
        <w:pStyle w:val="Heading2"/>
        <w:spacing w:after="150" w:before="300"/>
      </w:pPr>
      <w:r>
        <w:rPr>
          <w:b/>
          <w:bCs/>
          <w:color w:val="2E7D32"/>
          <w:sz w:val="24"/>
          <w:szCs w:val="24"/>
        </w:rPr>
        <w:t xml:space="preserve">12.1 Indore — repurposed construction waste as a policy model</w:t>
      </w:r>
    </w:p>
    <w:p>
      <w:pPr>
        <w:spacing w:after="160" w:line="276"/>
      </w:pPr>
      <w:r>
        <w:rPr>
          <w:color w:val="222222"/>
          <w:sz w:val="21"/>
          <w:szCs w:val="21"/>
        </w:rPr>
        <w:t xml:space="preserve">Indore Municipal Corporation's policy mandating the use of repurposed construction waste as raw material for footpaths, road pavements, and bricks — procured from a privately operated facility for government public-works programmes — is frequently cited as an example of effective government regulation creating a guaranteed downstream market for recovered material. The lesson for Swachta: a ULB relationship is most valuable not as a collection contract first, but as a guaranteed-offtake policy partner, which is a lighter, faster ask than a full service contract.</w:t>
      </w:r>
    </w:p>
    <w:p>
      <w:pPr>
        <w:pStyle w:val="Heading2"/>
        <w:spacing w:after="150" w:before="300"/>
      </w:pPr>
      <w:r>
        <w:rPr>
          <w:b/>
          <w:bCs/>
          <w:color w:val="2E7D32"/>
          <w:sz w:val="24"/>
          <w:szCs w:val="24"/>
        </w:rPr>
        <w:t xml:space="preserve">12.2 Chennai and Hyderabad — the risk of large-scale PPP handover</w:t>
      </w:r>
    </w:p>
    <w:p>
      <w:pPr>
        <w:spacing w:after="160" w:line="276"/>
      </w:pPr>
      <w:r>
        <w:rPr>
          <w:color w:val="222222"/>
          <w:sz w:val="21"/>
          <w:szCs w:val="21"/>
        </w:rPr>
        <w:t xml:space="preserve">Municipal authorities in Chennai and Hyderabad handed over multiple zones to large private operators such as Ramky Enviro and Urbaser Sumeet; these transfers have faced allegations of inflated reporting, unrealistic daily targets imposed on waste pickers, and cronyism excluding local contractors and aggregators. The lesson for Swachta: scale slowly, ward by ward, with verifiable data as the core defence against exactly this kind of credibility erosion — the opposite of a big-bang city-wide handover.</w:t>
      </w:r>
    </w:p>
    <w:p>
      <w:pPr>
        <w:pStyle w:val="Heading2"/>
        <w:spacing w:after="150" w:before="300"/>
      </w:pPr>
      <w:r>
        <w:rPr>
          <w:b/>
          <w:bCs/>
          <w:color w:val="2E7D32"/>
          <w:sz w:val="24"/>
          <w:szCs w:val="24"/>
        </w:rPr>
        <w:t xml:space="preserve">12.3 IIT Kanpur / Swachhata Startup Challenge cohort</w:t>
      </w:r>
    </w:p>
    <w:p>
      <w:pPr>
        <w:spacing w:after="160" w:line="276"/>
      </w:pPr>
      <w:r>
        <w:rPr>
          <w:color w:val="222222"/>
          <w:sz w:val="21"/>
          <w:szCs w:val="21"/>
        </w:rPr>
        <w:t xml:space="preserve">Startups supported through the Ministry of Housing and Urban Affairs' Startup Gateway for Garbage Free Cities programme, run with IIT Kanpur's Startup Incubation and Innovation Centre, have gone on to secure partnerships with urban local bodies such as the Greater Noida Industrial Development Authority and expanded into new markets after a structured incubation period. The lesson for Swachta: this exact grant-to-ULB-partnership pathway already has a working precedent in the NCR region, reinforcing Section 11's recommended funding sequencing.</w:t>
      </w:r>
    </w:p>
    <w:p>
      <w:r>
        <w:br w:type="page"/>
      </w:r>
    </w:p>
    <w:p>
      <w:pPr>
        <w:pStyle w:val="Heading1"/>
        <w:spacing w:after="200" w:before="420"/>
      </w:pPr>
      <w:r>
        <w:rPr>
          <w:b/>
          <w:bCs/>
          <w:color w:val="1F3B4D"/>
          <w:sz w:val="30"/>
          <w:szCs w:val="30"/>
        </w:rPr>
        <w:t xml:space="preserve">13. Risk Analysis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0"/>
        <w:gridCol w:w="3550"/>
        <w:gridCol w:w="3650"/>
      </w:tblGrid>
      <w:tr>
        <w:trPr>
          <w:tblHeader/>
        </w:trPr>
        <w:tc>
          <w:tcPr>
            <w:tcW w:type="dxa" w:w="2150"/>
            <w:shd w:fill="1F3B4D" w:val="clear"/>
          </w:tcPr>
          <w:p>
            <w:r>
              <w:rPr>
                <w:b/>
                <w:bCs/>
                <w:color w:val="FFFFFF"/>
                <w:sz w:val="19"/>
                <w:szCs w:val="19"/>
              </w:rPr>
              <w:t xml:space="preserve">Risk</w:t>
            </w:r>
          </w:p>
        </w:tc>
        <w:tc>
          <w:tcPr>
            <w:tcW w:type="dxa" w:w="3550"/>
            <w:shd w:fill="1F3B4D" w:val="clear"/>
          </w:tcPr>
          <w:p>
            <w:r>
              <w:rPr>
                <w:b/>
                <w:bCs/>
                <w:color w:val="FFFFFF"/>
                <w:sz w:val="19"/>
                <w:szCs w:val="19"/>
              </w:rPr>
              <w:t xml:space="preserve">Why it's real</w:t>
            </w:r>
          </w:p>
        </w:tc>
        <w:tc>
          <w:tcPr>
            <w:tcW w:type="dxa" w:w="3650"/>
            <w:shd w:fill="1F3B4D" w:val="clear"/>
          </w:tcPr>
          <w:p>
            <w:r>
              <w:rPr>
                <w:b/>
                <w:bCs/>
                <w:color w:val="FFFFFF"/>
                <w:sz w:val="19"/>
                <w:szCs w:val="19"/>
              </w:rPr>
              <w:t xml:space="preserve">Mitigation</w:t>
            </w:r>
          </w:p>
        </w:tc>
      </w:tr>
      <w:tr>
        <w:tc>
          <w:tcPr>
            <w:tcW w:type="dxa" w:w="2150"/>
            <w:shd w:fill="FFFFFF" w:val="clear"/>
          </w:tcPr>
          <w:p>
            <w:r>
              <w:rPr>
                <w:color w:val="222222"/>
                <w:sz w:val="19"/>
                <w:szCs w:val="19"/>
              </w:rPr>
              <w:t xml:space="preserve">ULB / political dependency</w:t>
            </w:r>
          </w:p>
        </w:tc>
        <w:tc>
          <w:tcPr>
            <w:tcW w:type="dxa" w:w="3550"/>
            <w:shd w:fill="FFFFFF" w:val="clear"/>
          </w:tcPr>
          <w:p>
            <w:r>
              <w:rPr>
                <w:color w:val="222222"/>
                <w:sz w:val="19"/>
                <w:szCs w:val="19"/>
              </w:rPr>
              <w:t xml:space="preserve">PPP track record in Indian SWM includes documented reports of inflated data and cronyism excluding local players</w:t>
            </w:r>
          </w:p>
        </w:tc>
        <w:tc>
          <w:tcPr>
            <w:tcW w:type="dxa" w:w="3650"/>
            <w:shd w:fill="FFFFFF" w:val="clear"/>
          </w:tcPr>
          <w:p>
            <w:r>
              <w:rPr>
                <w:color w:val="222222"/>
                <w:sz w:val="19"/>
                <w:szCs w:val="19"/>
              </w:rPr>
              <w:t xml:space="preserve">Start household-direct (B2C-anchored) rather than contract-dependent from day one; treat ULB relationship as upside, not the base case</w:t>
            </w:r>
          </w:p>
        </w:tc>
      </w:tr>
      <w:tr>
        <w:tc>
          <w:tcPr>
            <w:tcW w:type="dxa" w:w="2150"/>
            <w:shd w:fill="F2F2F2" w:val="clear"/>
          </w:tcPr>
          <w:p>
            <w:r>
              <w:rPr>
                <w:color w:val="222222"/>
                <w:sz w:val="19"/>
                <w:szCs w:val="19"/>
              </w:rPr>
              <w:t xml:space="preserve">Segregation compliance is hard to sustain</w:t>
            </w:r>
          </w:p>
        </w:tc>
        <w:tc>
          <w:tcPr>
            <w:tcW w:type="dxa" w:w="3550"/>
            <w:shd w:fill="F2F2F2" w:val="clear"/>
          </w:tcPr>
          <w:p>
            <w:r>
              <w:rPr>
                <w:color w:val="222222"/>
                <w:sz w:val="19"/>
                <w:szCs w:val="19"/>
              </w:rPr>
              <w:t xml:space="preserve">Behaviour change at household level is the hardest part of every SWM venture globally, not unique to Swachta</w:t>
            </w:r>
          </w:p>
        </w:tc>
        <w:tc>
          <w:tcPr>
            <w:tcW w:type="dxa" w:w="3650"/>
            <w:shd w:fill="F2F2F2" w:val="clear"/>
          </w:tcPr>
          <w:p>
            <w:r>
              <w:rPr>
                <w:color w:val="222222"/>
                <w:sz w:val="19"/>
                <w:szCs w:val="19"/>
              </w:rPr>
              <w:t xml:space="preserve">Verification built into the worker app from day one, not bolted on later; fee/service incentives tied to segregation compliance</w:t>
            </w:r>
          </w:p>
        </w:tc>
      </w:tr>
      <w:tr>
        <w:tc>
          <w:tcPr>
            <w:tcW w:type="dxa" w:w="2150"/>
            <w:shd w:fill="FFFFFF" w:val="clear"/>
          </w:tcPr>
          <w:p>
            <w:r>
              <w:rPr>
                <w:color w:val="222222"/>
                <w:sz w:val="19"/>
                <w:szCs w:val="19"/>
              </w:rPr>
              <w:t xml:space="preserve">Off-take price risk (compost, recyclables, RDF)</w:t>
            </w:r>
          </w:p>
        </w:tc>
        <w:tc>
          <w:tcPr>
            <w:tcW w:type="dxa" w:w="3550"/>
            <w:shd w:fill="FFFFFF" w:val="clear"/>
          </w:tcPr>
          <w:p>
            <w:r>
              <w:rPr>
                <w:color w:val="222222"/>
                <w:sz w:val="19"/>
                <w:szCs w:val="19"/>
              </w:rPr>
              <w:t xml:space="preserve">Commodity-linked prices for recovered materials fluctuate with broader material markets</w:t>
            </w:r>
          </w:p>
        </w:tc>
        <w:tc>
          <w:tcPr>
            <w:tcW w:type="dxa" w:w="3650"/>
            <w:shd w:fill="FFFFFF" w:val="clear"/>
          </w:tcPr>
          <w:p>
            <w:r>
              <w:rPr>
                <w:color w:val="222222"/>
                <w:sz w:val="19"/>
                <w:szCs w:val="19"/>
              </w:rPr>
              <w:t xml:space="preserve">Diversify across three revenue streams rather than depending on one; keep initial off-take contracts short and revisit pricing regularly</w:t>
            </w:r>
          </w:p>
        </w:tc>
      </w:tr>
      <w:tr>
        <w:tc>
          <w:tcPr>
            <w:tcW w:type="dxa" w:w="2150"/>
            <w:shd w:fill="F2F2F2" w:val="clear"/>
          </w:tcPr>
          <w:p>
            <w:r>
              <w:rPr>
                <w:color w:val="222222"/>
                <w:sz w:val="19"/>
                <w:szCs w:val="19"/>
              </w:rPr>
              <w:t xml:space="preserve">Founder / team execution risk</w:t>
            </w:r>
          </w:p>
        </w:tc>
        <w:tc>
          <w:tcPr>
            <w:tcW w:type="dxa" w:w="3550"/>
            <w:shd w:fill="F2F2F2" w:val="clear"/>
          </w:tcPr>
          <w:p>
            <w:r>
              <w:rPr>
                <w:color w:val="222222"/>
                <w:sz w:val="19"/>
                <w:szCs w:val="19"/>
              </w:rPr>
              <w:t xml:space="preserve">Early-stage, first-time, technically-oriented founder leading an operations-heavy field business</w:t>
            </w:r>
          </w:p>
        </w:tc>
        <w:tc>
          <w:tcPr>
            <w:tcW w:type="dxa" w:w="3650"/>
            <w:shd w:fill="F2F2F2" w:val="clear"/>
          </w:tcPr>
          <w:p>
            <w:r>
              <w:rPr>
                <w:color w:val="222222"/>
                <w:sz w:val="19"/>
                <w:szCs w:val="19"/>
              </w:rPr>
              <w:t xml:space="preserve">Advisory support from incubator/grant programs; prioritise hiring an experienced Ward Operations Lead early rather than scaling the founder's own bandwidth into field ops</w:t>
            </w:r>
          </w:p>
        </w:tc>
      </w:tr>
      <w:tr>
        <w:tc>
          <w:tcPr>
            <w:tcW w:type="dxa" w:w="2150"/>
            <w:shd w:fill="FFFFFF" w:val="clear"/>
          </w:tcPr>
          <w:p>
            <w:r>
              <w:rPr>
                <w:color w:val="222222"/>
                <w:sz w:val="19"/>
                <w:szCs w:val="19"/>
              </w:rPr>
              <w:t xml:space="preserve">Crowded, funded competitive category</w:t>
            </w:r>
          </w:p>
        </w:tc>
        <w:tc>
          <w:tcPr>
            <w:tcW w:type="dxa" w:w="3550"/>
            <w:shd w:fill="FFFFFF" w:val="clear"/>
          </w:tcPr>
          <w:p>
            <w:r>
              <w:rPr>
                <w:color w:val="222222"/>
                <w:sz w:val="19"/>
                <w:szCs w:val="19"/>
              </w:rPr>
              <w:t xml:space="preserve">139+ funded SWM-tech startups already active in India, several well-capitalised</w:t>
            </w:r>
          </w:p>
        </w:tc>
        <w:tc>
          <w:tcPr>
            <w:tcW w:type="dxa" w:w="3650"/>
            <w:shd w:fill="FFFFFF" w:val="clear"/>
          </w:tcPr>
          <w:p>
            <w:r>
              <w:rPr>
                <w:color w:val="222222"/>
                <w:sz w:val="19"/>
                <w:szCs w:val="19"/>
              </w:rPr>
              <w:t xml:space="preserve">Differentiate on tier-2 geography, household-level wedge, and worker-inclusion design rather than competing head-on for metro/enterprise contracts</w:t>
            </w:r>
          </w:p>
        </w:tc>
      </w:tr>
      <w:tr>
        <w:tc>
          <w:tcPr>
            <w:tcW w:type="dxa" w:w="2150"/>
            <w:shd w:fill="F2F2F2" w:val="clear"/>
          </w:tcPr>
          <w:p>
            <w:r>
              <w:rPr>
                <w:color w:val="222222"/>
                <w:sz w:val="19"/>
                <w:szCs w:val="19"/>
              </w:rPr>
              <w:t xml:space="preserve">Worker retention and safety</w:t>
            </w:r>
          </w:p>
        </w:tc>
        <w:tc>
          <w:tcPr>
            <w:tcW w:type="dxa" w:w="3550"/>
            <w:shd w:fill="F2F2F2" w:val="clear"/>
          </w:tcPr>
          <w:p>
            <w:r>
              <w:rPr>
                <w:color w:val="222222"/>
                <w:sz w:val="19"/>
                <w:szCs w:val="19"/>
              </w:rPr>
              <w:t xml:space="preserve">Collection work is physically demanding and often stigmatised, driving high turnover industry-wide</w:t>
            </w:r>
          </w:p>
        </w:tc>
        <w:tc>
          <w:tcPr>
            <w:tcW w:type="dxa" w:w="3650"/>
            <w:shd w:fill="F2F2F2" w:val="clear"/>
          </w:tcPr>
          <w:p>
            <w:r>
              <w:rPr>
                <w:color w:val="222222"/>
                <w:sz w:val="19"/>
                <w:szCs w:val="19"/>
              </w:rPr>
              <w:t xml:space="preserve">Transparent, verified pay; safety equipment provided as standard, not optional; dignity-centred brand identity intended to make Swachta a workplace of choice locally</w:t>
            </w:r>
          </w:p>
        </w:tc>
      </w:tr>
      <w:tr>
        <w:tc>
          <w:tcPr>
            <w:tcW w:type="dxa" w:w="2150"/>
            <w:shd w:fill="FFFFFF" w:val="clear"/>
          </w:tcPr>
          <w:p>
            <w:r>
              <w:rPr>
                <w:color w:val="222222"/>
                <w:sz w:val="19"/>
                <w:szCs w:val="19"/>
              </w:rPr>
              <w:t xml:space="preserve">Regulatory compliance burden</w:t>
            </w:r>
          </w:p>
        </w:tc>
        <w:tc>
          <w:tcPr>
            <w:tcW w:type="dxa" w:w="3550"/>
            <w:shd w:fill="FFFFFF" w:val="clear"/>
          </w:tcPr>
          <w:p>
            <w:r>
              <w:rPr>
                <w:color w:val="222222"/>
                <w:sz w:val="19"/>
                <w:szCs w:val="19"/>
              </w:rPr>
              <w:t xml:space="preserve">New SWM Rules (Oct 2025) raise the compliance bar for all operators, including enforcement powers for workers</w:t>
            </w:r>
          </w:p>
        </w:tc>
        <w:tc>
          <w:tcPr>
            <w:tcW w:type="dxa" w:w="3650"/>
            <w:shd w:fill="FFFFFF" w:val="clear"/>
          </w:tcPr>
          <w:p>
            <w:r>
              <w:rPr>
                <w:color w:val="222222"/>
                <w:sz w:val="19"/>
                <w:szCs w:val="19"/>
              </w:rPr>
              <w:t xml:space="preserve">Treat compliance data (segregation rates, collection logs) as a product feature and ULB-relationship asset, not just an obligation</w:t>
            </w:r>
          </w:p>
        </w:tc>
      </w:tr>
    </w:tbl>
    <w:p>
      <w:r>
        <w:br w:type="page"/>
      </w:r>
    </w:p>
    <w:p>
      <w:pPr>
        <w:pStyle w:val="Heading1"/>
        <w:spacing w:after="200" w:before="420"/>
      </w:pPr>
      <w:r>
        <w:rPr>
          <w:b/>
          <w:bCs/>
          <w:color w:val="1F3B4D"/>
          <w:sz w:val="30"/>
          <w:szCs w:val="30"/>
        </w:rPr>
        <w:t xml:space="preserve">14. Impact and Sustainability</w:t>
      </w:r>
    </w:p>
    <w:p>
      <w:pPr>
        <w:pStyle w:val="Heading2"/>
        <w:spacing w:after="150" w:before="300"/>
      </w:pPr>
      <w:r>
        <w:rPr>
          <w:b/>
          <w:bCs/>
          <w:color w:val="2E7D32"/>
          <w:sz w:val="24"/>
          <w:szCs w:val="24"/>
        </w:rPr>
        <w:t xml:space="preserve">13.1 Alignment with UN Sustainable Development Goals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B4D" w:val="clear"/>
          </w:tcPr>
          <w:p>
            <w:r>
              <w:rPr>
                <w:b/>
                <w:bCs/>
                <w:color w:val="FFFFFF"/>
                <w:sz w:val="19"/>
                <w:szCs w:val="19"/>
              </w:rPr>
              <w:t xml:space="preserve">SDG</w:t>
            </w:r>
          </w:p>
        </w:tc>
        <w:tc>
          <w:tcPr>
            <w:tcW w:type="dxa" w:w="6150"/>
            <w:shd w:fill="1F3B4D" w:val="clear"/>
          </w:tcPr>
          <w:p>
            <w:r>
              <w:rPr>
                <w:b/>
                <w:bCs/>
                <w:color w:val="FFFFFF"/>
                <w:sz w:val="19"/>
                <w:szCs w:val="19"/>
              </w:rPr>
              <w:t xml:space="preserve">How Swachta contributes</w:t>
            </w:r>
          </w:p>
        </w:tc>
      </w:tr>
      <w:tr>
        <w:tc>
          <w:tcPr>
            <w:tcW w:type="dxa" w:w="3200"/>
            <w:shd w:fill="FFFFFF" w:val="clear"/>
          </w:tcPr>
          <w:p>
            <w:r>
              <w:rPr>
                <w:color w:val="222222"/>
                <w:sz w:val="19"/>
                <w:szCs w:val="19"/>
              </w:rPr>
              <w:t xml:space="preserve">SDG 11 — Sustainable Cities and Communities</w:t>
            </w:r>
          </w:p>
        </w:tc>
        <w:tc>
          <w:tcPr>
            <w:tcW w:type="dxa" w:w="6150"/>
            <w:shd w:fill="FFFFFF" w:val="clear"/>
          </w:tcPr>
          <w:p>
            <w:r>
              <w:rPr>
                <w:color w:val="222222"/>
                <w:sz w:val="19"/>
                <w:szCs w:val="19"/>
              </w:rPr>
              <w:t xml:space="preserve">Directly improves municipal waste collection and processing reliability at the ward level</w:t>
            </w:r>
          </w:p>
        </w:tc>
      </w:tr>
      <w:tr>
        <w:tc>
          <w:tcPr>
            <w:tcW w:type="dxa" w:w="3200"/>
            <w:shd w:fill="F2F2F2" w:val="clear"/>
          </w:tcPr>
          <w:p>
            <w:r>
              <w:rPr>
                <w:color w:val="222222"/>
                <w:sz w:val="19"/>
                <w:szCs w:val="19"/>
              </w:rPr>
              <w:t xml:space="preserve">SDG 12 — Responsible Consumption and Production</w:t>
            </w:r>
          </w:p>
        </w:tc>
        <w:tc>
          <w:tcPr>
            <w:tcW w:type="dxa" w:w="6150"/>
            <w:shd w:fill="F2F2F2" w:val="clear"/>
          </w:tcPr>
          <w:p>
            <w:r>
              <w:rPr>
                <w:color w:val="222222"/>
                <w:sz w:val="19"/>
                <w:szCs w:val="19"/>
              </w:rPr>
              <w:t xml:space="preserve">Increases material recovery (compost, recyclables, RDF) diverted from landfill</w:t>
            </w:r>
          </w:p>
        </w:tc>
      </w:tr>
      <w:tr>
        <w:tc>
          <w:tcPr>
            <w:tcW w:type="dxa" w:w="3200"/>
            <w:shd w:fill="FFFFFF" w:val="clear"/>
          </w:tcPr>
          <w:p>
            <w:r>
              <w:rPr>
                <w:color w:val="222222"/>
                <w:sz w:val="19"/>
                <w:szCs w:val="19"/>
              </w:rPr>
              <w:t xml:space="preserve">SDG 8 — Decent Work and Economic Growth</w:t>
            </w:r>
          </w:p>
        </w:tc>
        <w:tc>
          <w:tcPr>
            <w:tcW w:type="dxa" w:w="6150"/>
            <w:shd w:fill="FFFFFF" w:val="clear"/>
          </w:tcPr>
          <w:p>
            <w:r>
              <w:rPr>
                <w:color w:val="222222"/>
                <w:sz w:val="19"/>
                <w:szCs w:val="19"/>
              </w:rPr>
              <w:t xml:space="preserve">Formalises and fairly compensates collection worker roles that are today largely informal</w:t>
            </w:r>
          </w:p>
        </w:tc>
      </w:tr>
      <w:tr>
        <w:tc>
          <w:tcPr>
            <w:tcW w:type="dxa" w:w="3200"/>
            <w:shd w:fill="F2F2F2" w:val="clear"/>
          </w:tcPr>
          <w:p>
            <w:r>
              <w:rPr>
                <w:color w:val="222222"/>
                <w:sz w:val="19"/>
                <w:szCs w:val="19"/>
              </w:rPr>
              <w:t xml:space="preserve">SDG 13 — Climate Action</w:t>
            </w:r>
          </w:p>
        </w:tc>
        <w:tc>
          <w:tcPr>
            <w:tcW w:type="dxa" w:w="6150"/>
            <w:shd w:fill="F2F2F2" w:val="clear"/>
          </w:tcPr>
          <w:p>
            <w:r>
              <w:rPr>
                <w:color w:val="222222"/>
                <w:sz w:val="19"/>
                <w:szCs w:val="19"/>
              </w:rPr>
              <w:t xml:space="preserve">Reduces landfill methane potential by diverting organic waste to composting/biomethanation pathways</w:t>
            </w:r>
          </w:p>
        </w:tc>
      </w:tr>
    </w:tbl>
    <w:p>
      <w:pPr>
        <w:pStyle w:val="Heading2"/>
        <w:spacing w:after="150" w:before="300"/>
      </w:pPr>
      <w:r>
        <w:rPr>
          <w:b/>
          <w:bCs/>
          <w:color w:val="2E7D32"/>
          <w:sz w:val="24"/>
          <w:szCs w:val="24"/>
        </w:rPr>
        <w:t xml:space="preserve">13.2 Social impact metrics to track alongside financial metrics</w:t>
      </w:r>
    </w:p>
    <w:p>
      <w:pPr>
        <w:pStyle w:val="ListParagraph"/>
        <w:numPr>
          <w:ilvl w:val="0"/>
          <w:numId w:val="2"/>
        </w:numPr>
        <w:spacing w:after="90"/>
      </w:pPr>
      <w:r>
        <w:rPr>
          <w:color w:val="222222"/>
          <w:sz w:val="21"/>
          <w:szCs w:val="21"/>
        </w:rPr>
        <w:t xml:space="preserve">Number of collection workers formally employed with transparent, verified pay.</w:t>
      </w:r>
    </w:p>
    <w:p>
      <w:pPr>
        <w:pStyle w:val="ListParagraph"/>
        <w:numPr>
          <w:ilvl w:val="0"/>
          <w:numId w:val="2"/>
        </w:numPr>
        <w:spacing w:after="90"/>
      </w:pPr>
      <w:r>
        <w:rPr>
          <w:color w:val="222222"/>
          <w:sz w:val="21"/>
          <w:szCs w:val="21"/>
        </w:rPr>
        <w:t xml:space="preserve">Worker earnings relative to informal-sector baseline in the same wards.</w:t>
      </w:r>
    </w:p>
    <w:p>
      <w:pPr>
        <w:pStyle w:val="ListParagraph"/>
        <w:numPr>
          <w:ilvl w:val="0"/>
          <w:numId w:val="2"/>
        </w:numPr>
        <w:spacing w:after="90"/>
      </w:pPr>
      <w:r>
        <w:rPr>
          <w:color w:val="222222"/>
          <w:sz w:val="21"/>
          <w:szCs w:val="21"/>
        </w:rPr>
        <w:t xml:space="preserve">Tonnes of waste diverted from landfill per month, by stream.</w:t>
      </w:r>
    </w:p>
    <w:p>
      <w:pPr>
        <w:pStyle w:val="ListParagraph"/>
        <w:numPr>
          <w:ilvl w:val="0"/>
          <w:numId w:val="2"/>
        </w:numPr>
        <w:spacing w:after="90"/>
      </w:pPr>
      <w:r>
        <w:rPr>
          <w:color w:val="222222"/>
          <w:sz w:val="21"/>
          <w:szCs w:val="21"/>
        </w:rPr>
        <w:t xml:space="preserve">Household segregation compliance rate over time (a proxy for behaviour-change success).</w:t>
      </w:r>
    </w:p>
    <w:p>
      <w:r>
        <w:br w:type="page"/>
      </w:r>
    </w:p>
    <w:p>
      <w:pPr>
        <w:pStyle w:val="Heading1"/>
        <w:spacing w:after="200" w:before="420"/>
      </w:pPr>
      <w:r>
        <w:rPr>
          <w:b/>
          <w:bCs/>
          <w:color w:val="1F3B4D"/>
          <w:sz w:val="30"/>
          <w:szCs w:val="30"/>
        </w:rPr>
        <w:t xml:space="preserve">15. Implementation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1900"/>
        <w:gridCol w:w="5000"/>
      </w:tblGrid>
      <w:tr>
        <w:trPr>
          <w:tblHeader/>
        </w:trPr>
        <w:tc>
          <w:tcPr>
            <w:tcW w:type="dxa" w:w="2450"/>
            <w:shd w:fill="1F3B4D" w:val="clear"/>
          </w:tcPr>
          <w:p>
            <w:r>
              <w:rPr>
                <w:b/>
                <w:bCs/>
                <w:color w:val="FFFFFF"/>
                <w:sz w:val="19"/>
                <w:szCs w:val="19"/>
              </w:rPr>
              <w:t xml:space="preserve">Phase</w:t>
            </w:r>
          </w:p>
        </w:tc>
        <w:tc>
          <w:tcPr>
            <w:tcW w:type="dxa" w:w="1900"/>
            <w:shd w:fill="1F3B4D" w:val="clear"/>
          </w:tcPr>
          <w:p>
            <w:r>
              <w:rPr>
                <w:b/>
                <w:bCs/>
                <w:color w:val="FFFFFF"/>
                <w:sz w:val="19"/>
                <w:szCs w:val="19"/>
              </w:rPr>
              <w:t xml:space="preserve">Timeline</w:t>
            </w:r>
          </w:p>
        </w:tc>
        <w:tc>
          <w:tcPr>
            <w:tcW w:type="dxa" w:w="5000"/>
            <w:shd w:fill="1F3B4D" w:val="clear"/>
          </w:tcPr>
          <w:p>
            <w:r>
              <w:rPr>
                <w:b/>
                <w:bCs/>
                <w:color w:val="FFFFFF"/>
                <w:sz w:val="19"/>
                <w:szCs w:val="19"/>
              </w:rPr>
              <w:t xml:space="preserve">Key milestones</w:t>
            </w:r>
          </w:p>
        </w:tc>
      </w:tr>
      <w:tr>
        <w:tc>
          <w:tcPr>
            <w:tcW w:type="dxa" w:w="2450"/>
            <w:shd w:fill="FFFFFF" w:val="clear"/>
          </w:tcPr>
          <w:p>
            <w:r>
              <w:rPr>
                <w:color w:val="222222"/>
                <w:sz w:val="19"/>
                <w:szCs w:val="19"/>
              </w:rPr>
              <w:t xml:space="preserve">Phase 0 — Foundation</w:t>
            </w:r>
          </w:p>
        </w:tc>
        <w:tc>
          <w:tcPr>
            <w:tcW w:type="dxa" w:w="1900"/>
            <w:shd w:fill="FFFFFF" w:val="clear"/>
          </w:tcPr>
          <w:p>
            <w:r>
              <w:rPr>
                <w:color w:val="222222"/>
                <w:sz w:val="19"/>
                <w:szCs w:val="19"/>
              </w:rPr>
              <w:t xml:space="preserve">Days 1–30</w:t>
            </w:r>
          </w:p>
        </w:tc>
        <w:tc>
          <w:tcPr>
            <w:tcW w:type="dxa" w:w="5000"/>
            <w:shd w:fill="FFFFFF" w:val="clear"/>
          </w:tcPr>
          <w:p>
            <w:r>
              <w:rPr>
                <w:color w:val="222222"/>
                <w:sz w:val="19"/>
                <w:szCs w:val="19"/>
              </w:rPr>
              <w:t xml:space="preserve">Ward selection, baseline waste audit, councillor/RWA engagement, first worker cohort hired, composting partner finalised</w:t>
            </w:r>
          </w:p>
        </w:tc>
      </w:tr>
      <w:tr>
        <w:tc>
          <w:tcPr>
            <w:tcW w:type="dxa" w:w="2450"/>
            <w:shd w:fill="F2F2F2" w:val="clear"/>
          </w:tcPr>
          <w:p>
            <w:r>
              <w:rPr>
                <w:color w:val="222222"/>
                <w:sz w:val="19"/>
                <w:szCs w:val="19"/>
              </w:rPr>
              <w:t xml:space="preserve">Phase 1 — Pilot launch</w:t>
            </w:r>
          </w:p>
        </w:tc>
        <w:tc>
          <w:tcPr>
            <w:tcW w:type="dxa" w:w="1900"/>
            <w:shd w:fill="F2F2F2" w:val="clear"/>
          </w:tcPr>
          <w:p>
            <w:r>
              <w:rPr>
                <w:color w:val="222222"/>
                <w:sz w:val="19"/>
                <w:szCs w:val="19"/>
              </w:rPr>
              <w:t xml:space="preserve">Days 31–90</w:t>
            </w:r>
          </w:p>
        </w:tc>
        <w:tc>
          <w:tcPr>
            <w:tcW w:type="dxa" w:w="5000"/>
            <w:shd w:fill="F2F2F2" w:val="clear"/>
          </w:tcPr>
          <w:p>
            <w:r>
              <w:rPr>
                <w:color w:val="222222"/>
                <w:sz w:val="19"/>
                <w:szCs w:val="19"/>
              </w:rPr>
              <w:t xml:space="preserve">App live in 500–1,000 households, verified-segregation collection running, compost + recyclables revenue live, pilot metrics published</w:t>
            </w:r>
          </w:p>
        </w:tc>
      </w:tr>
      <w:tr>
        <w:tc>
          <w:tcPr>
            <w:tcW w:type="dxa" w:w="2450"/>
            <w:shd w:fill="FFFFFF" w:val="clear"/>
          </w:tcPr>
          <w:p>
            <w:r>
              <w:rPr>
                <w:color w:val="222222"/>
                <w:sz w:val="19"/>
                <w:szCs w:val="19"/>
              </w:rPr>
              <w:t xml:space="preserve">Phase 2 — Validate &amp; expand</w:t>
            </w:r>
          </w:p>
        </w:tc>
        <w:tc>
          <w:tcPr>
            <w:tcW w:type="dxa" w:w="1900"/>
            <w:shd w:fill="FFFFFF" w:val="clear"/>
          </w:tcPr>
          <w:p>
            <w:r>
              <w:rPr>
                <w:color w:val="222222"/>
                <w:sz w:val="19"/>
                <w:szCs w:val="19"/>
              </w:rPr>
              <w:t xml:space="preserve">Months 4–6</w:t>
            </w:r>
          </w:p>
        </w:tc>
        <w:tc>
          <w:tcPr>
            <w:tcW w:type="dxa" w:w="5000"/>
            <w:shd w:fill="FFFFFF" w:val="clear"/>
          </w:tcPr>
          <w:p>
            <w:r>
              <w:rPr>
                <w:color w:val="222222"/>
                <w:sz w:val="19"/>
                <w:szCs w:val="19"/>
              </w:rPr>
              <w:t xml:space="preserve">RDF stream live, ward expansion based on validated economics, ULB conversations opened on pilot evidence</w:t>
            </w:r>
          </w:p>
        </w:tc>
      </w:tr>
      <w:tr>
        <w:tc>
          <w:tcPr>
            <w:tcW w:type="dxa" w:w="2450"/>
            <w:shd w:fill="F2F2F2" w:val="clear"/>
          </w:tcPr>
          <w:p>
            <w:r>
              <w:rPr>
                <w:color w:val="222222"/>
                <w:sz w:val="19"/>
                <w:szCs w:val="19"/>
              </w:rPr>
              <w:t xml:space="preserve">Phase 3 — Scale &amp; formalise</w:t>
            </w:r>
          </w:p>
        </w:tc>
        <w:tc>
          <w:tcPr>
            <w:tcW w:type="dxa" w:w="1900"/>
            <w:shd w:fill="F2F2F2" w:val="clear"/>
          </w:tcPr>
          <w:p>
            <w:r>
              <w:rPr>
                <w:color w:val="222222"/>
                <w:sz w:val="19"/>
                <w:szCs w:val="19"/>
              </w:rPr>
              <w:t xml:space="preserve">Months 7–12</w:t>
            </w:r>
          </w:p>
        </w:tc>
        <w:tc>
          <w:tcPr>
            <w:tcW w:type="dxa" w:w="5000"/>
            <w:shd w:fill="F2F2F2" w:val="clear"/>
          </w:tcPr>
          <w:p>
            <w:r>
              <w:rPr>
                <w:color w:val="222222"/>
                <w:sz w:val="19"/>
                <w:szCs w:val="19"/>
              </w:rPr>
              <w:t xml:space="preserve">Formal ULB MoU/contract pursued, biomethanation capital-partner conversations begin if wet-waste volume justifies it</w:t>
            </w:r>
          </w:p>
        </w:tc>
      </w:tr>
      <w:tr>
        <w:tc>
          <w:tcPr>
            <w:tcW w:type="dxa" w:w="2450"/>
            <w:shd w:fill="FFFFFF" w:val="clear"/>
          </w:tcPr>
          <w:p>
            <w:r>
              <w:rPr>
                <w:color w:val="222222"/>
                <w:sz w:val="19"/>
                <w:szCs w:val="19"/>
              </w:rPr>
              <w:t xml:space="preserve">Phase 4 — Multi-ward / multi-city groundwork</w:t>
            </w:r>
          </w:p>
        </w:tc>
        <w:tc>
          <w:tcPr>
            <w:tcW w:type="dxa" w:w="1900"/>
            <w:shd w:fill="FFFFFF" w:val="clear"/>
          </w:tcPr>
          <w:p>
            <w:r>
              <w:rPr>
                <w:color w:val="222222"/>
                <w:sz w:val="19"/>
                <w:szCs w:val="19"/>
              </w:rPr>
              <w:t xml:space="preserve">Year 2</w:t>
            </w:r>
          </w:p>
        </w:tc>
        <w:tc>
          <w:tcPr>
            <w:tcW w:type="dxa" w:w="5000"/>
            <w:shd w:fill="FFFFFF" w:val="clear"/>
          </w:tcPr>
          <w:p>
            <w:r>
              <w:rPr>
                <w:color w:val="222222"/>
                <w:sz w:val="19"/>
                <w:szCs w:val="19"/>
              </w:rPr>
              <w:t xml:space="preserve">Replicate validated playbook to additional Ghaziabad wards and evaluate a second NCR city</w:t>
            </w:r>
          </w:p>
        </w:tc>
      </w:tr>
    </w:tbl>
    <w:p>
      <w:r>
        <w:br w:type="page"/>
      </w:r>
    </w:p>
    <w:p>
      <w:pPr>
        <w:pStyle w:val="Heading1"/>
        <w:spacing w:after="200" w:before="420"/>
      </w:pPr>
      <w:r>
        <w:rPr>
          <w:b/>
          <w:bCs/>
          <w:color w:val="1F3B4D"/>
          <w:sz w:val="30"/>
          <w:szCs w:val="30"/>
        </w:rPr>
        <w:t xml:space="preserve">16. Legal and Regulatory Considerations</w:t>
      </w:r>
    </w:p>
    <w:p>
      <w:pPr>
        <w:pStyle w:val="ListParagraph"/>
        <w:numPr>
          <w:ilvl w:val="0"/>
          <w:numId w:val="2"/>
        </w:numPr>
        <w:spacing w:after="90"/>
      </w:pPr>
      <w:r>
        <w:rPr>
          <w:color w:val="222222"/>
          <w:sz w:val="21"/>
          <w:szCs w:val="21"/>
        </w:rPr>
        <w:t xml:space="preserve">Compliance with the revised Solid Waste Management Rules (effective October 2025), including source-segregation mandates and data/reporting obligations.</w:t>
      </w:r>
    </w:p>
    <w:p>
      <w:pPr>
        <w:pStyle w:val="ListParagraph"/>
        <w:numPr>
          <w:ilvl w:val="0"/>
          <w:numId w:val="2"/>
        </w:numPr>
        <w:spacing w:after="90"/>
      </w:pPr>
      <w:r>
        <w:rPr>
          <w:color w:val="222222"/>
          <w:sz w:val="21"/>
          <w:szCs w:val="21"/>
        </w:rPr>
        <w:t xml:space="preserve">Formal, written worker engagement terms consistent with applicable labour regulations — a deliberate choice given the brand's dignity-first positioning, not just a legal minimum.</w:t>
      </w:r>
    </w:p>
    <w:p>
      <w:pPr>
        <w:pStyle w:val="ListParagraph"/>
        <w:numPr>
          <w:ilvl w:val="0"/>
          <w:numId w:val="2"/>
        </w:numPr>
        <w:spacing w:after="90"/>
      </w:pPr>
      <w:r>
        <w:rPr>
          <w:color w:val="222222"/>
          <w:sz w:val="21"/>
          <w:szCs w:val="21"/>
        </w:rPr>
        <w:t xml:space="preserve">Any ULB engagement (MoU or contract) to be reviewed for terms consistent with fair, transparent operation, given the sector's documented history of contract disputes in PPP arrangements.</w:t>
      </w:r>
    </w:p>
    <w:p>
      <w:pPr>
        <w:pStyle w:val="ListParagraph"/>
        <w:numPr>
          <w:ilvl w:val="0"/>
          <w:numId w:val="2"/>
        </w:numPr>
        <w:spacing w:after="90"/>
      </w:pPr>
      <w:r>
        <w:rPr>
          <w:color w:val="222222"/>
          <w:sz w:val="21"/>
          <w:szCs w:val="21"/>
        </w:rPr>
        <w:t xml:space="preserve">E-waste and hazardous waste handling to remain fully outsourced to licensed specialist recyclers, avoiding regulatory exposure Swachta is not equipped to carry at this stage.</w:t>
      </w:r>
    </w:p>
    <w:p>
      <w:pPr>
        <w:pStyle w:val="ListParagraph"/>
        <w:numPr>
          <w:ilvl w:val="0"/>
          <w:numId w:val="2"/>
        </w:numPr>
        <w:spacing w:after="90"/>
      </w:pPr>
      <w:r>
        <w:rPr>
          <w:color w:val="222222"/>
          <w:sz w:val="21"/>
          <w:szCs w:val="21"/>
        </w:rPr>
        <w:t xml:space="preserve">Standard business registration, GST compliance, and off-take agreement contracting for compost, recyclables, and RDF sales.</w:t>
      </w:r>
    </w:p>
    <w:p>
      <w:pPr>
        <w:pBdr>
          <w:left w:val="single" w:color="C99A2E" w:sz="12" w:space="8"/>
        </w:pBdr>
        <w:shd w:fill="FFF7E0" w:val="clear"/>
        <w:spacing w:after="200" w:before="100"/>
      </w:pPr>
      <w:r>
        <w:rPr>
          <w:i/>
          <w:iCs/>
          <w:color w:val="6B5B10"/>
          <w:sz w:val="20"/>
          <w:szCs w:val="20"/>
        </w:rPr>
        <w:t xml:space="preserve">This section is a planning checklist, not legal advice. Swachta should engage a qualified advisor for registration structure, labour compliance, and off-take contract review before finalising pilot agreements.</w:t>
      </w:r>
    </w:p>
    <w:p>
      <w:r>
        <w:br w:type="page"/>
      </w:r>
    </w:p>
    <w:p>
      <w:pPr>
        <w:pStyle w:val="Heading1"/>
        <w:spacing w:after="200" w:before="420"/>
      </w:pPr>
      <w:r>
        <w:rPr>
          <w:b/>
          <w:bCs/>
          <w:color w:val="1F3B4D"/>
          <w:sz w:val="30"/>
          <w:szCs w:val="30"/>
        </w:rPr>
        <w:t xml:space="preserve">17. Appendices</w:t>
      </w:r>
    </w:p>
    <w:p>
      <w:pPr>
        <w:pStyle w:val="Heading2"/>
        <w:spacing w:after="150" w:before="300"/>
      </w:pPr>
      <w:r>
        <w:rPr>
          <w:b/>
          <w:bCs/>
          <w:color w:val="2E7D32"/>
          <w:sz w:val="24"/>
          <w:szCs w:val="24"/>
        </w:rPr>
        <w:t xml:space="preserve">Appendix A — Glossary</w:t>
      </w:r>
    </w:p>
    <w:p>
      <w:pPr>
        <w:pStyle w:val="ListParagraph"/>
        <w:numPr>
          <w:ilvl w:val="0"/>
          <w:numId w:val="2"/>
        </w:numPr>
        <w:spacing w:after="90"/>
      </w:pPr>
      <w:r>
        <w:rPr>
          <w:color w:val="222222"/>
          <w:sz w:val="21"/>
          <w:szCs w:val="21"/>
        </w:rPr>
        <w:t xml:space="preserve">MSW — Municipal Solid Waste</w:t>
      </w:r>
    </w:p>
    <w:p>
      <w:pPr>
        <w:pStyle w:val="ListParagraph"/>
        <w:numPr>
          <w:ilvl w:val="0"/>
          <w:numId w:val="2"/>
        </w:numPr>
        <w:spacing w:after="90"/>
      </w:pPr>
      <w:r>
        <w:rPr>
          <w:color w:val="222222"/>
          <w:sz w:val="21"/>
          <w:szCs w:val="21"/>
        </w:rPr>
        <w:t xml:space="preserve">ULB — Urban Local Body (municipal governing authority)</w:t>
      </w:r>
    </w:p>
    <w:p>
      <w:pPr>
        <w:pStyle w:val="ListParagraph"/>
        <w:numPr>
          <w:ilvl w:val="0"/>
          <w:numId w:val="2"/>
        </w:numPr>
        <w:spacing w:after="90"/>
      </w:pPr>
      <w:r>
        <w:rPr>
          <w:color w:val="222222"/>
          <w:sz w:val="21"/>
          <w:szCs w:val="21"/>
        </w:rPr>
        <w:t xml:space="preserve">RDF — Refuse-Derived Fuel, produced from shredded/baled non-recyclable dry waste</w:t>
      </w:r>
    </w:p>
    <w:p>
      <w:pPr>
        <w:pStyle w:val="ListParagraph"/>
        <w:numPr>
          <w:ilvl w:val="0"/>
          <w:numId w:val="2"/>
        </w:numPr>
        <w:spacing w:after="90"/>
      </w:pPr>
      <w:r>
        <w:rPr>
          <w:color w:val="222222"/>
          <w:sz w:val="21"/>
          <w:szCs w:val="21"/>
        </w:rPr>
        <w:t xml:space="preserve">Biomethanation — anaerobic digestion of organic waste to produce biogas</w:t>
      </w:r>
    </w:p>
    <w:p>
      <w:pPr>
        <w:pStyle w:val="ListParagraph"/>
        <w:numPr>
          <w:ilvl w:val="0"/>
          <w:numId w:val="2"/>
        </w:numPr>
        <w:spacing w:after="90"/>
      </w:pPr>
      <w:r>
        <w:rPr>
          <w:color w:val="222222"/>
          <w:sz w:val="21"/>
          <w:szCs w:val="21"/>
        </w:rPr>
        <w:t xml:space="preserve">EPR — Extended Producer Responsibility, a regulatory framework requiring producers to manage post-consumer waste from their products</w:t>
      </w:r>
    </w:p>
    <w:p>
      <w:pPr>
        <w:pStyle w:val="ListParagraph"/>
        <w:numPr>
          <w:ilvl w:val="0"/>
          <w:numId w:val="2"/>
        </w:numPr>
        <w:spacing w:after="90"/>
      </w:pPr>
      <w:r>
        <w:rPr>
          <w:color w:val="222222"/>
          <w:sz w:val="21"/>
          <w:szCs w:val="21"/>
        </w:rPr>
        <w:t xml:space="preserve">SWM Rules — Solid Waste Management Rules, the national regulatory framework governing waste handling in India</w:t>
      </w:r>
    </w:p>
    <w:p>
      <w:pPr>
        <w:pStyle w:val="Heading2"/>
        <w:spacing w:after="150" w:before="300"/>
      </w:pPr>
      <w:r>
        <w:rPr>
          <w:b/>
          <w:bCs/>
          <w:color w:val="2E7D32"/>
          <w:sz w:val="24"/>
          <w:szCs w:val="24"/>
        </w:rPr>
        <w:t xml:space="preserve">Appendix B — Key sources referenced in this plan</w:t>
      </w:r>
    </w:p>
    <w:p>
      <w:pPr>
        <w:pStyle w:val="ListParagraph"/>
        <w:numPr>
          <w:ilvl w:val="0"/>
          <w:numId w:val="2"/>
        </w:numPr>
        <w:spacing w:after="90"/>
      </w:pPr>
      <w:r>
        <w:rPr>
          <w:color w:val="222222"/>
          <w:sz w:val="21"/>
          <w:szCs w:val="21"/>
        </w:rPr>
        <w:t xml:space="preserve">Ministry of Housing and Urban Affairs (2021) — estimate of recoverable material value in Indian MSW</w:t>
      </w:r>
    </w:p>
    <w:p>
      <w:pPr>
        <w:pStyle w:val="ListParagraph"/>
        <w:numPr>
          <w:ilvl w:val="0"/>
          <w:numId w:val="2"/>
        </w:numPr>
        <w:spacing w:after="90"/>
      </w:pPr>
      <w:r>
        <w:rPr>
          <w:color w:val="222222"/>
          <w:sz w:val="21"/>
          <w:szCs w:val="21"/>
        </w:rPr>
        <w:t xml:space="preserve">Centre for Science and Environment, State of India Environment report (2024)</w:t>
      </w:r>
    </w:p>
    <w:p>
      <w:pPr>
        <w:pStyle w:val="ListParagraph"/>
        <w:numPr>
          <w:ilvl w:val="0"/>
          <w:numId w:val="2"/>
        </w:numPr>
        <w:spacing w:after="90"/>
      </w:pPr>
      <w:r>
        <w:rPr>
          <w:color w:val="222222"/>
          <w:sz w:val="21"/>
          <w:szCs w:val="21"/>
        </w:rPr>
        <w:t xml:space="preserve">Central Pollution Control Board / IDR sector analysis on India's waste startup ecosystem and PPP track record</w:t>
      </w:r>
    </w:p>
    <w:p>
      <w:pPr>
        <w:pStyle w:val="ListParagraph"/>
        <w:numPr>
          <w:ilvl w:val="0"/>
          <w:numId w:val="2"/>
        </w:numPr>
        <w:spacing w:after="90"/>
      </w:pPr>
      <w:r>
        <w:rPr>
          <w:color w:val="222222"/>
          <w:sz w:val="21"/>
          <w:szCs w:val="21"/>
        </w:rPr>
        <w:t xml:space="preserve">Tracxn and industry trackers on India solid-waste-management-tech startup funding</w:t>
      </w:r>
    </w:p>
    <w:p>
      <w:pPr>
        <w:pStyle w:val="ListParagraph"/>
        <w:numPr>
          <w:ilvl w:val="0"/>
          <w:numId w:val="2"/>
        </w:numPr>
        <w:spacing w:after="90"/>
      </w:pPr>
      <w:r>
        <w:rPr>
          <w:color w:val="222222"/>
          <w:sz w:val="21"/>
          <w:szCs w:val="21"/>
        </w:rPr>
        <w:t xml:space="preserve">Press Information Bureau — Swachh Bharat Mission-Urban, Swachhata Startup Challenge programme details</w:t>
      </w:r>
    </w:p>
    <w:p>
      <w:pPr>
        <w:pStyle w:val="Heading2"/>
        <w:spacing w:after="150" w:before="300"/>
      </w:pPr>
      <w:r>
        <w:rPr>
          <w:b/>
          <w:bCs/>
          <w:color w:val="2E7D32"/>
          <w:sz w:val="24"/>
          <w:szCs w:val="24"/>
        </w:rPr>
        <w:t xml:space="preserve">Appendix C — Ward-level waste audit template (to be completed Days 1–30)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350"/>
        <w:gridCol w:w="3000"/>
      </w:tblGrid>
      <w:tr>
        <w:trPr>
          <w:tblHeader/>
        </w:trPr>
        <w:tc>
          <w:tcPr>
            <w:tcW w:type="dxa" w:w="3000"/>
            <w:shd w:fill="1F3B4D" w:val="clear"/>
          </w:tcPr>
          <w:p>
            <w:r>
              <w:rPr>
                <w:b/>
                <w:bCs/>
                <w:color w:val="FFFFFF"/>
                <w:sz w:val="19"/>
                <w:szCs w:val="19"/>
              </w:rPr>
              <w:t xml:space="preserve">Data point</w:t>
            </w:r>
          </w:p>
        </w:tc>
        <w:tc>
          <w:tcPr>
            <w:tcW w:type="dxa" w:w="3350"/>
            <w:shd w:fill="1F3B4D" w:val="clear"/>
          </w:tcPr>
          <w:p>
            <w:r>
              <w:rPr>
                <w:b/>
                <w:bCs/>
                <w:color w:val="FFFFFF"/>
                <w:sz w:val="19"/>
                <w:szCs w:val="19"/>
              </w:rPr>
              <w:t xml:space="preserve">Method</w:t>
            </w:r>
          </w:p>
        </w:tc>
        <w:tc>
          <w:tcPr>
            <w:tcW w:type="dxa" w:w="3000"/>
            <w:shd w:fill="1F3B4D" w:val="clear"/>
          </w:tcPr>
          <w:p>
            <w:r>
              <w:rPr>
                <w:b/>
                <w:bCs/>
                <w:color w:val="FFFFFF"/>
                <w:sz w:val="19"/>
                <w:szCs w:val="19"/>
              </w:rPr>
              <w:t xml:space="preserve">Owner</w:t>
            </w:r>
          </w:p>
        </w:tc>
      </w:tr>
      <w:tr>
        <w:tc>
          <w:tcPr>
            <w:tcW w:type="dxa" w:w="3000"/>
            <w:shd w:fill="FFFFFF" w:val="clear"/>
          </w:tcPr>
          <w:p>
            <w:r>
              <w:rPr>
                <w:color w:val="222222"/>
                <w:sz w:val="19"/>
                <w:szCs w:val="19"/>
              </w:rPr>
              <w:t xml:space="preserve">Households in ward, by approx. income mix</w:t>
            </w:r>
          </w:p>
        </w:tc>
        <w:tc>
          <w:tcPr>
            <w:tcW w:type="dxa" w:w="3350"/>
            <w:shd w:fill="FFFFFF" w:val="clear"/>
          </w:tcPr>
          <w:p>
            <w:r>
              <w:rPr>
                <w:color w:val="222222"/>
                <w:sz w:val="19"/>
                <w:szCs w:val="19"/>
              </w:rPr>
              <w:t xml:space="preserve">ULB records + field count</w:t>
            </w:r>
          </w:p>
        </w:tc>
        <w:tc>
          <w:tcPr>
            <w:tcW w:type="dxa" w:w="3000"/>
            <w:shd w:fill="FFFFFF" w:val="clear"/>
          </w:tcPr>
          <w:p>
            <w:r>
              <w:rPr>
                <w:color w:val="222222"/>
                <w:sz w:val="19"/>
                <w:szCs w:val="19"/>
              </w:rPr>
              <w:t xml:space="preserve">Ward Operations Lead</w:t>
            </w:r>
          </w:p>
        </w:tc>
      </w:tr>
      <w:tr>
        <w:tc>
          <w:tcPr>
            <w:tcW w:type="dxa" w:w="3000"/>
            <w:shd w:fill="F2F2F2" w:val="clear"/>
          </w:tcPr>
          <w:p>
            <w:r>
              <w:rPr>
                <w:color w:val="222222"/>
                <w:sz w:val="19"/>
                <w:szCs w:val="19"/>
              </w:rPr>
              <w:t xml:space="preserve">Estimated daily waste generation per household</w:t>
            </w:r>
          </w:p>
        </w:tc>
        <w:tc>
          <w:tcPr>
            <w:tcW w:type="dxa" w:w="3350"/>
            <w:shd w:fill="F2F2F2" w:val="clear"/>
          </w:tcPr>
          <w:p>
            <w:r>
              <w:rPr>
                <w:color w:val="222222"/>
                <w:sz w:val="19"/>
                <w:szCs w:val="19"/>
              </w:rPr>
              <w:t xml:space="preserve">Sample weighing, 2-week period</w:t>
            </w:r>
          </w:p>
        </w:tc>
        <w:tc>
          <w:tcPr>
            <w:tcW w:type="dxa" w:w="3000"/>
            <w:shd w:fill="F2F2F2" w:val="clear"/>
          </w:tcPr>
          <w:p>
            <w:r>
              <w:rPr>
                <w:color w:val="222222"/>
                <w:sz w:val="19"/>
                <w:szCs w:val="19"/>
              </w:rPr>
              <w:t xml:space="preserve">Ward Operations Lead</w:t>
            </w:r>
          </w:p>
        </w:tc>
      </w:tr>
      <w:tr>
        <w:tc>
          <w:tcPr>
            <w:tcW w:type="dxa" w:w="3000"/>
            <w:shd w:fill="FFFFFF" w:val="clear"/>
          </w:tcPr>
          <w:p>
            <w:r>
              <w:rPr>
                <w:color w:val="222222"/>
                <w:sz w:val="19"/>
                <w:szCs w:val="19"/>
              </w:rPr>
              <w:t xml:space="preserve">Current collection method and frequency</w:t>
            </w:r>
          </w:p>
        </w:tc>
        <w:tc>
          <w:tcPr>
            <w:tcW w:type="dxa" w:w="3350"/>
            <w:shd w:fill="FFFFFF" w:val="clear"/>
          </w:tcPr>
          <w:p>
            <w:r>
              <w:rPr>
                <w:color w:val="222222"/>
                <w:sz w:val="19"/>
                <w:szCs w:val="19"/>
              </w:rPr>
              <w:t xml:space="preserve">Household survey</w:t>
            </w:r>
          </w:p>
        </w:tc>
        <w:tc>
          <w:tcPr>
            <w:tcW w:type="dxa" w:w="3000"/>
            <w:shd w:fill="FFFFFF" w:val="clear"/>
          </w:tcPr>
          <w:p>
            <w:r>
              <w:rPr>
                <w:color w:val="222222"/>
                <w:sz w:val="19"/>
                <w:szCs w:val="19"/>
              </w:rPr>
              <w:t xml:space="preserve">Ward Operations Lead</w:t>
            </w:r>
          </w:p>
        </w:tc>
      </w:tr>
      <w:tr>
        <w:tc>
          <w:tcPr>
            <w:tcW w:type="dxa" w:w="3000"/>
            <w:shd w:fill="F2F2F2" w:val="clear"/>
          </w:tcPr>
          <w:p>
            <w:r>
              <w:rPr>
                <w:color w:val="222222"/>
                <w:sz w:val="19"/>
                <w:szCs w:val="19"/>
              </w:rPr>
              <w:t xml:space="preserve">Household willingness-to-pay for reliable segregated collection</w:t>
            </w:r>
          </w:p>
        </w:tc>
        <w:tc>
          <w:tcPr>
            <w:tcW w:type="dxa" w:w="3350"/>
            <w:shd w:fill="F2F2F2" w:val="clear"/>
          </w:tcPr>
          <w:p>
            <w:r>
              <w:rPr>
                <w:color w:val="222222"/>
                <w:sz w:val="19"/>
                <w:szCs w:val="19"/>
              </w:rPr>
              <w:t xml:space="preserve">Household survey</w:t>
            </w:r>
          </w:p>
        </w:tc>
        <w:tc>
          <w:tcPr>
            <w:tcW w:type="dxa" w:w="3000"/>
            <w:shd w:fill="F2F2F2" w:val="clear"/>
          </w:tcPr>
          <w:p>
            <w:r>
              <w:rPr>
                <w:color w:val="222222"/>
                <w:sz w:val="19"/>
                <w:szCs w:val="19"/>
              </w:rPr>
              <w:t xml:space="preserve">Founder + Ward Operations Lead</w:t>
            </w:r>
          </w:p>
        </w:tc>
      </w:tr>
      <w:tr>
        <w:tc>
          <w:tcPr>
            <w:tcW w:type="dxa" w:w="3000"/>
            <w:shd w:fill="FFFFFF" w:val="clear"/>
          </w:tcPr>
          <w:p>
            <w:r>
              <w:rPr>
                <w:color w:val="222222"/>
                <w:sz w:val="19"/>
                <w:szCs w:val="19"/>
              </w:rPr>
              <w:t xml:space="preserve">Existing informal waste picker/collector presence</w:t>
            </w:r>
          </w:p>
        </w:tc>
        <w:tc>
          <w:tcPr>
            <w:tcW w:type="dxa" w:w="3350"/>
            <w:shd w:fill="FFFFFF" w:val="clear"/>
          </w:tcPr>
          <w:p>
            <w:r>
              <w:rPr>
                <w:color w:val="222222"/>
                <w:sz w:val="19"/>
                <w:szCs w:val="19"/>
              </w:rPr>
              <w:t xml:space="preserve">Field mapping, community conversations</w:t>
            </w:r>
          </w:p>
        </w:tc>
        <w:tc>
          <w:tcPr>
            <w:tcW w:type="dxa" w:w="3000"/>
            <w:shd w:fill="FFFFFF" w:val="clear"/>
          </w:tcPr>
          <w:p>
            <w:r>
              <w:rPr>
                <w:color w:val="222222"/>
                <w:sz w:val="19"/>
                <w:szCs w:val="19"/>
              </w:rPr>
              <w:t xml:space="preserve">Ward Operations Lead</w:t>
            </w:r>
          </w:p>
        </w:tc>
      </w:tr>
    </w:tbl>
    <w:p>
      <w:r>
        <w:br w:type="page"/>
      </w:r>
    </w:p>
    <w:p>
      <w:pPr>
        <w:pStyle w:val="Heading2"/>
        <w:spacing w:after="150" w:before="300"/>
      </w:pPr>
      <w:r>
        <w:rPr>
          <w:b/>
          <w:bCs/>
          <w:color w:val="2E7D32"/>
          <w:sz w:val="24"/>
          <w:szCs w:val="24"/>
        </w:rPr>
        <w:t xml:space="preserve">Appendix D — Anticipated financier questions and honest answers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B4D" w:val="clear"/>
          </w:tcPr>
          <w:p>
            <w:r>
              <w:rPr>
                <w:b/>
                <w:bCs/>
                <w:color w:val="FFFFFF"/>
                <w:sz w:val="19"/>
                <w:szCs w:val="19"/>
              </w:rPr>
              <w:t xml:space="preserve">Likely question</w:t>
            </w:r>
          </w:p>
        </w:tc>
        <w:tc>
          <w:tcPr>
            <w:tcW w:type="dxa" w:w="6150"/>
            <w:shd w:fill="1F3B4D" w:val="clear"/>
          </w:tcPr>
          <w:p>
            <w:r>
              <w:rPr>
                <w:b/>
                <w:bCs/>
                <w:color w:val="FFFFFF"/>
                <w:sz w:val="19"/>
                <w:szCs w:val="19"/>
              </w:rPr>
              <w:t xml:space="preserve">Honest answer</w:t>
            </w:r>
          </w:p>
        </w:tc>
      </w:tr>
      <w:tr>
        <w:tc>
          <w:tcPr>
            <w:tcW w:type="dxa" w:w="3200"/>
            <w:shd w:fill="FFFFFF" w:val="clear"/>
          </w:tcPr>
          <w:p>
            <w:r>
              <w:rPr>
                <w:color w:val="222222"/>
                <w:sz w:val="19"/>
                <w:szCs w:val="19"/>
              </w:rPr>
              <w:t xml:space="preserve">Why should we trust a solo student founder with no field-ops background?</w:t>
            </w:r>
          </w:p>
        </w:tc>
        <w:tc>
          <w:tcPr>
            <w:tcW w:type="dxa" w:w="6150"/>
            <w:shd w:fill="FFFFFF" w:val="clear"/>
          </w:tcPr>
          <w:p>
            <w:r>
              <w:rPr>
                <w:color w:val="222222"/>
                <w:sz w:val="19"/>
                <w:szCs w:val="19"/>
              </w:rPr>
              <w:t xml:space="preserve">We shouldn't be trusted on that alone — which is why Section 10.2 commits to hiring a Ward Operations Lead before scaling, and why the pilot is deliberately small (2–3 wards) rather than city-wide.</w:t>
            </w:r>
          </w:p>
        </w:tc>
      </w:tr>
      <w:tr>
        <w:tc>
          <w:tcPr>
            <w:tcW w:type="dxa" w:w="3200"/>
            <w:shd w:fill="F2F2F2" w:val="clear"/>
          </w:tcPr>
          <w:p>
            <w:r>
              <w:rPr>
                <w:color w:val="222222"/>
                <w:sz w:val="19"/>
                <w:szCs w:val="19"/>
              </w:rPr>
              <w:t xml:space="preserve">What stops the ULB from cutting you out once you've proven the model?</w:t>
            </w:r>
          </w:p>
        </w:tc>
        <w:tc>
          <w:tcPr>
            <w:tcW w:type="dxa" w:w="6150"/>
            <w:shd w:fill="F2F2F2" w:val="clear"/>
          </w:tcPr>
          <w:p>
            <w:r>
              <w:rPr>
                <w:color w:val="222222"/>
                <w:sz w:val="19"/>
                <w:szCs w:val="19"/>
              </w:rPr>
              <w:t xml:space="preserve">Nothing fully does — this is a real risk (Section 13). The mitigation is staying household-direct (B2C-anchored) so Swachta's core revenue never depends solely on a ULB contract.</w:t>
            </w:r>
          </w:p>
        </w:tc>
      </w:tr>
      <w:tr>
        <w:tc>
          <w:tcPr>
            <w:tcW w:type="dxa" w:w="3200"/>
            <w:shd w:fill="FFFFFF" w:val="clear"/>
          </w:tcPr>
          <w:p>
            <w:r>
              <w:rPr>
                <w:color w:val="222222"/>
                <w:sz w:val="19"/>
                <w:szCs w:val="19"/>
              </w:rPr>
              <w:t xml:space="preserve">Why not just build the waste-to-energy plant — isn't that the bigger opportunity?</w:t>
            </w:r>
          </w:p>
        </w:tc>
        <w:tc>
          <w:tcPr>
            <w:tcW w:type="dxa" w:w="6150"/>
            <w:shd w:fill="FFFFFF" w:val="clear"/>
          </w:tcPr>
          <w:p>
            <w:r>
              <w:rPr>
                <w:color w:val="222222"/>
                <w:sz w:val="19"/>
                <w:szCs w:val="19"/>
              </w:rPr>
              <w:t xml:space="preserve">It may be, eventually, but it requires capital and scale Swachta does not have and should not pretend to have at pilot stage (Section 6). Phase 2 biomethanation is explicitly capital-partner led, not self-funded.</w:t>
            </w:r>
          </w:p>
        </w:tc>
      </w:tr>
      <w:tr>
        <w:tc>
          <w:tcPr>
            <w:tcW w:type="dxa" w:w="3200"/>
            <w:shd w:fill="F2F2F2" w:val="clear"/>
          </w:tcPr>
          <w:p>
            <w:r>
              <w:rPr>
                <w:color w:val="222222"/>
                <w:sz w:val="19"/>
                <w:szCs w:val="19"/>
              </w:rPr>
              <w:t xml:space="preserve">How is this different from the 139+ already-funded SWM startups in India?</w:t>
            </w:r>
          </w:p>
        </w:tc>
        <w:tc>
          <w:tcPr>
            <w:tcW w:type="dxa" w:w="6150"/>
            <w:shd w:fill="F2F2F2" w:val="clear"/>
          </w:tcPr>
          <w:p>
            <w:r>
              <w:rPr>
                <w:color w:val="222222"/>
                <w:sz w:val="19"/>
                <w:szCs w:val="19"/>
              </w:rPr>
              <w:t xml:space="preserve">It largely isn't, technologically. The differentiation is geography (tier-2 NCR), entry point (household-level, not enterprise), and worker-inclusion design (Section 8.3) — not a novel technical moat.</w:t>
            </w:r>
          </w:p>
        </w:tc>
      </w:tr>
      <w:tr>
        <w:tc>
          <w:tcPr>
            <w:tcW w:type="dxa" w:w="3200"/>
            <w:shd w:fill="FFFFFF" w:val="clear"/>
          </w:tcPr>
          <w:p>
            <w:r>
              <w:rPr>
                <w:color w:val="222222"/>
                <w:sz w:val="19"/>
                <w:szCs w:val="19"/>
              </w:rPr>
              <w:t xml:space="preserve">What happens if segregation compliance stays low?</w:t>
            </w:r>
          </w:p>
        </w:tc>
        <w:tc>
          <w:tcPr>
            <w:tcW w:type="dxa" w:w="6150"/>
            <w:shd w:fill="FFFFFF" w:val="clear"/>
          </w:tcPr>
          <w:p>
            <w:r>
              <w:rPr>
                <w:color w:val="222222"/>
                <w:sz w:val="19"/>
                <w:szCs w:val="19"/>
              </w:rPr>
              <w:t xml:space="preserve">Then the recoverable-material revenue streams underperform and the model leans more heavily on household fees alone — which is exactly why compliance rate is the first variable tracked in the sensitivity table (Section 11.6).</w:t>
            </w:r>
          </w:p>
        </w:tc>
      </w:tr>
    </w:tbl>
    <w:p>
      <w:pPr>
        <w:pStyle w:val="Heading2"/>
        <w:spacing w:after="150" w:before="300"/>
      </w:pPr>
      <w:r>
        <w:rPr>
          <w:b/>
          <w:bCs/>
          <w:color w:val="2E7D32"/>
          <w:sz w:val="24"/>
          <w:szCs w:val="24"/>
        </w:rPr>
        <w:t xml:space="preserve">Appendix E — Document version and next steps</w:t>
      </w:r>
    </w:p>
    <w:p>
      <w:pPr>
        <w:pStyle w:val="ListParagraph"/>
        <w:numPr>
          <w:ilvl w:val="0"/>
          <w:numId w:val="2"/>
        </w:numPr>
        <w:spacing w:after="90"/>
      </w:pPr>
      <w:r>
        <w:rPr>
          <w:color w:val="222222"/>
          <w:sz w:val="21"/>
          <w:szCs w:val="21"/>
        </w:rPr>
        <w:t xml:space="preserve">This plan should be treated as a living document, updated with real pilot data at the end of Days 1–30, Days 31–60, and Days 61–90.</w:t>
      </w:r>
    </w:p>
    <w:p>
      <w:pPr>
        <w:pStyle w:val="ListParagraph"/>
        <w:numPr>
          <w:ilvl w:val="0"/>
          <w:numId w:val="2"/>
        </w:numPr>
        <w:spacing w:after="90"/>
      </w:pPr>
      <w:r>
        <w:rPr>
          <w:color w:val="222222"/>
          <w:sz w:val="21"/>
          <w:szCs w:val="21"/>
        </w:rPr>
        <w:t xml:space="preserve">Financial figures in Section 11 are explicitly placeholders pending the ward-level waste audit (Appendix C) and signed off-take agreements.</w:t>
      </w:r>
    </w:p>
    <w:p>
      <w:pPr>
        <w:pStyle w:val="ListParagraph"/>
        <w:numPr>
          <w:ilvl w:val="0"/>
          <w:numId w:val="2"/>
        </w:numPr>
        <w:spacing w:after="90"/>
      </w:pPr>
      <w:r>
        <w:rPr>
          <w:color w:val="222222"/>
          <w:sz w:val="21"/>
          <w:szCs w:val="21"/>
        </w:rPr>
        <w:t xml:space="preserve">A companion pitch deck, tailored to the specific financier type being engaged (grant committee, impact fund, or equity investor per Section 11.7), is intended to accompany this plan rather than replace it.</w:t>
      </w:r>
    </w:p>
    <w:p>
      <w:pPr>
        <w:spacing w:after="200"/>
      </w:pPr>
    </w:p>
    <w:p>
      <w:pPr>
        <w:spacing w:after="160" w:line="276"/>
      </w:pPr>
      <w:r>
        <w:rPr>
          <w:i/>
          <w:iCs/>
          <w:color w:val="5A5A5A"/>
          <w:sz w:val="21"/>
          <w:szCs w:val="21"/>
        </w:rPr>
        <w:t xml:space="preserve">End of document. This plan is paired with a separate pitch deck built for whichever financier type is engaged first — the framing, metrics emphasised, and ask will differ meaningfully between a grant committee, a CSR/impact fund, and an angel or venture investor, per the discussion in Section 11.7.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SWACHTA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2026-07-09T05:05:16.292Z</dcterms:created>
  <dcterms:modified xsi:type="dcterms:W3CDTF">2026-07-09T05:05:16.293Z</dcterms:modified>
</cp:coreProperties>
</file>

<file path=docProps/custom.xml><?xml version="1.0" encoding="utf-8"?>
<Properties xmlns="http://schemas.openxmlformats.org/officeDocument/2006/custom-properties" xmlns:vt="http://schemas.openxmlformats.org/officeDocument/2006/docPropsVTypes"/>
</file>