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</w:t>
      </w:r>
    </w:p>
    <w:p>
      <w:r>
        <w:t>Nassau Candy Distributor – Product Line Profitability &amp; Margin Performance Analysis</w:t>
      </w:r>
    </w:p>
    <w:p>
      <w:pPr>
        <w:pStyle w:val="Heading1"/>
      </w:pPr>
      <w:r>
        <w:t>Headline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Sales</w:t>
            </w:r>
          </w:p>
        </w:tc>
        <w:tc>
          <w:tcPr>
            <w:tcW w:type="dxa" w:w="1728"/>
          </w:tcPr>
          <w:p>
            <w:r>
              <w:t>Gross Profit</w:t>
            </w:r>
          </w:p>
        </w:tc>
        <w:tc>
          <w:tcPr>
            <w:tcW w:type="dxa" w:w="1728"/>
          </w:tcPr>
          <w:p>
            <w:r>
              <w:t>Gross Margin</w:t>
            </w:r>
          </w:p>
        </w:tc>
        <w:tc>
          <w:tcPr>
            <w:tcW w:type="dxa" w:w="1728"/>
          </w:tcPr>
          <w:p>
            <w:r>
              <w:t>Products</w:t>
            </w:r>
          </w:p>
        </w:tc>
        <w:tc>
          <w:tcPr>
            <w:tcW w:type="dxa" w:w="1728"/>
          </w:tcPr>
          <w:p>
            <w:r>
              <w:t>Profit Concentration</w:t>
            </w:r>
          </w:p>
        </w:tc>
      </w:tr>
      <w:tr>
        <w:tc>
          <w:tcPr>
            <w:tcW w:type="dxa" w:w="1728"/>
          </w:tcPr>
          <w:p>
            <w:r>
              <w:t>$141,783.63</w:t>
            </w:r>
          </w:p>
        </w:tc>
        <w:tc>
          <w:tcPr>
            <w:tcW w:type="dxa" w:w="1728"/>
          </w:tcPr>
          <w:p>
            <w:r>
              <w:t>$93,442.80</w:t>
            </w:r>
          </w:p>
        </w:tc>
        <w:tc>
          <w:tcPr>
            <w:tcW w:type="dxa" w:w="1728"/>
          </w:tcPr>
          <w:p>
            <w:r>
              <w:t>65.9%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5 products / 80% profit</w:t>
            </w:r>
          </w:p>
        </w:tc>
      </w:tr>
    </w:tbl>
    <w:p>
      <w:pPr>
        <w:pStyle w:val="Heading1"/>
      </w:pPr>
      <w:r>
        <w:t>Key Findings</w:t>
      </w:r>
    </w:p>
    <w:p>
      <w:pPr>
        <w:pStyle w:val="ListBullet"/>
      </w:pPr>
      <w:r>
        <w:t>Chocolate generates 95.1% of total gross profit and 92.9% of sales.</w:t>
      </w:r>
    </w:p>
    <w:p>
      <w:pPr>
        <w:pStyle w:val="ListBullet"/>
      </w:pPr>
      <w:r>
        <w:t>The top five products generate 95.1% of gross profit.</w:t>
      </w:r>
    </w:p>
    <w:p>
      <w:pPr>
        <w:pStyle w:val="ListBullet"/>
      </w:pPr>
      <w:r>
        <w:t>Kazookles has the lowest gross margin at 7.7%, making it the clearest margin-risk candidate.</w:t>
      </w:r>
    </w:p>
    <w:p>
      <w:pPr>
        <w:pStyle w:val="ListBullet"/>
      </w:pPr>
      <w:r>
        <w:t>Nutty Crunch Surprise has a strong 71.3% margin while also generating substantial profit.</w:t>
      </w:r>
    </w:p>
    <w:p>
      <w:pPr>
        <w:pStyle w:val="ListBullet"/>
      </w:pPr>
      <w:r>
        <w:t>The supplied order/ship dates imply very long elapsed times; this should be validated before operational use.</w:t>
      </w:r>
    </w:p>
    <w:p>
      <w:pPr>
        <w:pStyle w:val="Heading1"/>
      </w:pPr>
      <w:r>
        <w:t>Management Actions</w:t>
      </w:r>
    </w:p>
    <w:p>
      <w:pPr>
        <w:pStyle w:val="ListNumber"/>
      </w:pPr>
      <w:r>
        <w:t>Reprice or renegotiate costs for low-margin products.</w:t>
      </w:r>
    </w:p>
    <w:p>
      <w:pPr>
        <w:pStyle w:val="ListNumber"/>
      </w:pPr>
      <w:r>
        <w:t>Protect top-profit products through inventory and sourcing controls.</w:t>
      </w:r>
    </w:p>
    <w:p>
      <w:pPr>
        <w:pStyle w:val="ListNumber"/>
      </w:pPr>
      <w:r>
        <w:t>Review margin monthly and set an alert threshold in the dashboard.</w:t>
      </w:r>
    </w:p>
    <w:p>
      <w:pPr>
        <w:pStyle w:val="ListNumber"/>
      </w:pPr>
      <w:r>
        <w:t>Use product-level profit contribution alongside margin percentage for portfolio decisions.</w:t>
      </w:r>
    </w:p>
    <w:p>
      <w:pPr>
        <w:pStyle w:val="ListNumber"/>
      </w:pPr>
      <w:r>
        <w:t>Validate factory assignments and shipment-date quality with the data owner.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