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 February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spacing w:after="160" w:before="300" w:line="526.1538461538462" w:lineRule="auto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nvftuulpmv3y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04040"/>
                <w:sz w:val="24"/>
                <w:szCs w:val="24"/>
                <w:rtl w:val="0"/>
              </w:rPr>
              <w:t xml:space="preserve">Online Payments Fraud Detection Using 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Quality Report Template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420"/>
        <w:gridCol w:w="1185"/>
        <w:gridCol w:w="3450"/>
        <w:tblGridChange w:id="0">
          <w:tblGrid>
            <w:gridCol w:w="1320"/>
            <w:gridCol w:w="3420"/>
            <w:gridCol w:w="1185"/>
            <w:gridCol w:w="345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Quality Issue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Missing values in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oldbalanceDest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Forward-fill (propagate last valid)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.1038613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Duplicate transactions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Drop duplicates based on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transactionID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.1038613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Invalid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Map to standardized labels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mKhXZxIgILYL9I8+2RGWXp2Hgw==">CgMxLjAyDmgubnZmdHV1bHBtdjN5OAByITFndTFqQWNwa1VGeDQ2bTVyejJtZUg5NzAzYkdjQms2eQ==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