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February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spacing w:after="160" w:before="300" w:line="526.1538461538462" w:lineRule="auto"/>
              <w:ind w:lef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br8gsw8llin4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404040"/>
                <w:sz w:val="24"/>
                <w:szCs w:val="24"/>
                <w:rtl w:val="0"/>
              </w:rPr>
              <w:t xml:space="preserve">Online Payments Fraud Detection Using 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 Selection Report Template</w:t>
      </w:r>
    </w:p>
    <w:p w:rsidR="00000000" w:rsidDel="00000000" w:rsidP="00000000" w:rsidRDefault="00000000" w:rsidRPr="00000000" w14:paraId="0000000E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725"/>
        <w:gridCol w:w="1860"/>
        <w:gridCol w:w="3780"/>
        <w:tblGridChange w:id="0">
          <w:tblGrid>
            <w:gridCol w:w="1575"/>
            <w:gridCol w:w="1725"/>
            <w:gridCol w:w="1860"/>
            <w:gridCol w:w="378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Selected (Yes/No)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Reasoning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Time unit (hour) of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No temporal pattern in fraud (confirmed via EDA).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0"/>
                <w:szCs w:val="20"/>
                <w:shd w:fill="ececec" w:val="clear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Transaction type (encoded)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spacing w:after="160"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Fraud concentrated in TRANSFER/CASH_OUT (50% of cases).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Transaction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High-amount transactions correlate with fraud (p&lt;0.01).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shd w:fill="ecece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oldbalanceOrg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Origin account balance before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Zero-balance origins linked to 87% fraud cases.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shd w:fill="ecece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newbalanceOrig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Origin balance after 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Collinear with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oldbalanceOrg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amount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(dropped to avoid leakage).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shd w:fill="ecece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nameOrig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Origin 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Non-predictive (unique identifiers).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shd w:fill="ecece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balance_change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404040"/>
                <w:sz w:val="20"/>
                <w:szCs w:val="20"/>
                <w:shd w:fill="ececec" w:val="clear"/>
                <w:rtl w:val="0"/>
              </w:rPr>
              <w:t xml:space="preserve">newbalanceOrig - oldbalanceOrg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9.84" w:type="dxa"/>
              <w:left w:w="159.84" w:type="dxa"/>
              <w:bottom w:w="159.84" w:type="dxa"/>
              <w:right w:w="159.84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spacing w:after="160" w:line="412.8" w:lineRule="auto"/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Engineered feature; captures suspicious instant balance transfers.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Yy05NpWHW49NBXJY4ZB8LjMChA==">CgMxLjAyDmguYnI4Z3N3OGxsaW40OAByITFNS3pJR0FqWDBJN29NNFQ2cGpNLVBZcUlLN1J5OEhRMA==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