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Project Planning Template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28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0"/>
              <w:spacing w:after="160" w:before="300" w:line="526.1538461538462" w:lineRule="auto"/>
              <w:ind w:left="131.3470458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ro6f3vqy5gq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-44.00000000000013" w:tblpY="4856.520670572917"/>
        <w:tblW w:w="128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0000000000002"/>
        <w:gridCol w:w="1830"/>
        <w:gridCol w:w="2730"/>
        <w:gridCol w:w="930"/>
        <w:gridCol w:w="1830"/>
        <w:gridCol w:w="1830"/>
        <w:gridCol w:w="1830"/>
        <w:tblGridChange w:id="0">
          <w:tblGrid>
            <w:gridCol w:w="1857.0000000000002"/>
            <w:gridCol w:w="1830"/>
            <w:gridCol w:w="2730"/>
            <w:gridCol w:w="930"/>
            <w:gridCol w:w="1830"/>
            <w:gridCol w:w="1830"/>
            <w:gridCol w:w="1830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User Stories /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Data Preparation &amp; 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Load and clean transaction dataset (handle missing values, outliers).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Clean dataset ready for analysis.</w:t>
            </w:r>
          </w:p>
        </w:tc>
      </w:tr>
      <w:tr>
        <w:trPr>
          <w:cantSplit w:val="0"/>
          <w:trHeight w:val="2363.580859374998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Perform Exploratory Data Analysis (EDA): Visualize fraud distribution, transaction types, correlations.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576.0" w:type="dxa"/>
              <w:left w:w="576.0" w:type="dxa"/>
              <w:bottom w:w="576.0" w:type="dxa"/>
              <w:right w:w="57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Key insights on fraud patterns (e.g., common fraud types, amount ranges).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Feature Engineering &amp; Preprocessing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Encode categorical features (e.g., transaction type).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431.99999999999994" w:type="dxa"/>
              <w:left w:w="431.99999999999994" w:type="dxa"/>
              <w:bottom w:w="431.99999999999994" w:type="dxa"/>
              <w:right w:w="431.99999999999994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Numerically encoded features for ML models.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Split data into train/test sets (70/30) and scale numerical features (StandardScaler).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Processed data ready for model training.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Model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Train and evaluate Logistic Regression (baseline model).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Logistic Regression metrics (accuracy, precision, recall).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Train Decision Tree and Naive Bayes; compare performance.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Model comparison table (Decision Tree achieves 99.95% accuracy).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Model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Address class imbalance (SMOTE/undersampling).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Improved recall for minority class (fraud cases).</w:t>
            </w:r>
          </w:p>
        </w:tc>
      </w:tr>
      <w:tr>
        <w:trPr>
          <w:cantSplit w:val="0"/>
          <w:trHeight w:val="1220.7414062500013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6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7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8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Hyperparameter tuning (GridSearchCV for Decision Tree).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9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A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B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C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Optimized model with higher ROC-AUC (&gt;0.99).</w:t>
            </w:r>
          </w:p>
        </w:tc>
      </w:tr>
      <w:tr>
        <w:trPr>
          <w:cantSplit w:val="0"/>
          <w:trHeight w:val="1268.3218750000028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D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E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18"/>
                <w:szCs w:val="18"/>
                <w:rtl w:val="0"/>
              </w:rPr>
              <w:t xml:space="preserve">Documentation &amp; Final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4F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Create user documentation (model performance, limitations).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0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1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2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3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Clear docs for stakeholders (banks/merchants).</w:t>
            </w:r>
          </w:p>
        </w:tc>
      </w:tr>
      <w:tr>
        <w:trPr>
          <w:cantSplit w:val="0"/>
          <w:trHeight w:val="692.7414062499973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4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5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6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- Present final results: Model performance, business impact (25% fraud reduction).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7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8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9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 w14:paraId="0000005A">
            <w:pPr>
              <w:spacing w:line="412.8" w:lineRule="auto"/>
              <w:jc w:val="center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Project closure with ROI analysis.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widowControl w:val="0"/>
      <w:spacing w:after="0" w:line="24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04040"/>
        <w:sz w:val="24"/>
        <w:szCs w:val="24"/>
        <w:lang w:val="en-IN"/>
      </w:rPr>
    </w:rPrDefault>
    <w:pPrDefault>
      <w:pPr>
        <w:spacing w:after="160" w:line="412.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hTVRcRoqCm5n/p/d4mVQMIHEvw==">CgMxLjAyDmgucm82ZjN2cXk1Z3F1OAByITFmR0FseTREZXJMUWNfeDJlUndVLUJOZFg1OUJuS1ktcg==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