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A1628" w:color="auto" w:val="clear"/>
        <w:spacing w:after="120" w:before="120"/>
      </w:pPr>
      <w:r>
        <w:rPr>
          <w:rFonts w:ascii="Calibri" w:cs="Calibri" w:eastAsia="Calibri" w:hAnsi="Calibri"/>
          <w:b/>
          <w:bCs/>
          <w:color w:val="FFFFFF"/>
          <w:sz w:val="40"/>
          <w:szCs w:val="40"/>
        </w:rPr>
        <w:t xml:space="preserve">  VULA</w:t>
      </w:r>
      <w:r>
        <w:rPr>
          <w:rFonts w:ascii="Calibri" w:cs="Calibri" w:eastAsia="Calibri" w:hAnsi="Calibri"/>
          <w:color w:val="A8C4CC"/>
          <w:sz w:val="26"/>
          <w:szCs w:val="26"/>
        </w:rPr>
        <w:t xml:space="preserve">  Solutions</w:t>
      </w:r>
    </w:p>
    <w:p>
      <w:pPr>
        <w:shd w:fill="01A1B7" w:color="auto" w:val="clear"/>
        <w:spacing w:after="0" w:before="0"/>
      </w:pPr>
      <w:r>
        <w:rPr>
          <w:rFonts w:ascii="Calibri" w:cs="Calibri" w:eastAsia="Calibri" w:hAnsi="Calibri"/>
          <w:sz w:val="4"/>
          <w:szCs w:val="4"/>
        </w:rPr>
        <w:t xml:space="preserve"> </w:t>
      </w:r>
    </w:p>
    <w:p>
      <w:pPr>
        <w:shd w:fill="0A1628" w:color="auto" w:val="clear"/>
        <w:spacing w:after="0" w:before="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shd w:fill="0A1628" w:color="auto" w:val="clear"/>
        <w:spacing w:after="120" w:before="0"/>
      </w:pPr>
      <w:r>
        <w:rPr>
          <w:rFonts w:ascii="Calibri" w:cs="Calibri" w:eastAsia="Calibri" w:hAnsi="Calibri"/>
          <w:b/>
          <w:bCs/>
          <w:color w:val="FFFFFF"/>
          <w:sz w:val="56"/>
          <w:szCs w:val="56"/>
        </w:rPr>
        <w:t xml:space="preserve">Compass Report</w:t>
      </w:r>
    </w:p>
    <w:p>
      <w:pPr>
        <w:shd w:fill="0A1628" w:color="auto" w:val="clear"/>
        <w:spacing w:after="0" w:before="0"/>
      </w:pPr>
      <w:r>
        <w:rPr>
          <w:rFonts w:ascii="Calibri" w:cs="Calibri" w:eastAsia="Calibri" w:hAnsi="Calibri"/>
          <w:color w:val="01A1B7"/>
          <w:sz w:val="26"/>
          <w:szCs w:val="26"/>
        </w:rPr>
        <w:t xml:space="preserve">[Session Tier: Essential / Professional / Strategic]</w:t>
      </w:r>
    </w:p>
    <w:p>
      <w:pPr>
        <w:shd w:fill="0A1628" w:color="auto" w:val="clear"/>
        <w:spacing w:after="0" w:before="0"/>
      </w:pPr>
      <w:r>
        <w:rPr>
          <w:rFonts w:ascii="Calibri" w:cs="Calibri" w:eastAsia="Calibri" w:hAnsi="Calibri"/>
          <w:sz w:val="24"/>
          <w:szCs w:val="24"/>
        </w:rPr>
        <w:t xml:space="preserve"> </w:t>
      </w:r>
    </w:p>
    <w:p>
      <w:pPr>
        <w:spacing w:after="0" w:before="0"/>
      </w:pPr>
      <w:r>
        <w:rPr>
          <w:sz w:val="32"/>
          <w:szCs w:val="32"/>
        </w:rPr>
        <w:t xml:space="preserve"/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Prepared for: </w:t>
      </w:r>
      <w:r>
        <w:rPr>
          <w:rFonts w:ascii="Calibri" w:cs="Calibri" w:eastAsia="Calibri" w:hAnsi="Calibri"/>
          <w:sz w:val="22"/>
          <w:szCs w:val="22"/>
        </w:rPr>
        <w:t xml:space="preserve">[Client Company Name]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Primary contact: </w:t>
      </w:r>
      <w:r>
        <w:rPr>
          <w:rFonts w:ascii="Calibri" w:cs="Calibri" w:eastAsia="Calibri" w:hAnsi="Calibri"/>
          <w:sz w:val="22"/>
          <w:szCs w:val="22"/>
        </w:rPr>
        <w:t xml:space="preserve">[Name, Title]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Session date: </w:t>
      </w:r>
      <w:r>
        <w:rPr>
          <w:rFonts w:ascii="Calibri" w:cs="Calibri" w:eastAsia="Calibri" w:hAnsi="Calibri"/>
          <w:sz w:val="22"/>
          <w:szCs w:val="22"/>
        </w:rPr>
        <w:t xml:space="preserve">[Date]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Report date: </w:t>
      </w:r>
      <w:r>
        <w:rPr>
          <w:rFonts w:ascii="Calibri" w:cs="Calibri" w:eastAsia="Calibri" w:hAnsi="Calibri"/>
          <w:sz w:val="22"/>
          <w:szCs w:val="22"/>
        </w:rPr>
        <w:t xml:space="preserve">[Date]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Prepared by: </w:t>
      </w:r>
      <w:r>
        <w:rPr>
          <w:rFonts w:ascii="Calibri" w:cs="Calibri" w:eastAsia="Calibri" w:hAnsi="Calibri"/>
          <w:sz w:val="22"/>
          <w:szCs w:val="22"/>
        </w:rPr>
        <w:t xml:space="preserve">Shiven Pillay, Vula Solutions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Report reference: </w:t>
      </w:r>
      <w:r>
        <w:rPr>
          <w:rFonts w:ascii="Calibri" w:cs="Calibri" w:eastAsia="Calibri" w:hAnsi="Calibri"/>
          <w:sz w:val="22"/>
          <w:szCs w:val="22"/>
        </w:rPr>
        <w:t xml:space="preserve">COMP-[YYYY]-[NNN]</w:t>
      </w:r>
    </w:p>
    <w:p>
      <w:pPr>
        <w:spacing w:after="0" w:before="0"/>
      </w:pPr>
      <w:r>
        <w:rPr>
          <w:sz w:val="48"/>
          <w:szCs w:val="48"/>
        </w:rPr>
        <w:t xml:space="preserve"/>
      </w:r>
    </w:p>
    <w:p>
      <w:pPr>
        <w:pBdr>
          <w:bottom w:val="single" w:color="01A1B7" w:sz="6"/>
        </w:pBdr>
        <w:spacing w:after="240"/>
      </w:pPr>
    </w:p>
    <w:p>
      <w:pPr>
        <w:shd w:fill="EEF2F8" w:color="auto" w:val="clear"/>
        <w:spacing w:after="120" w:before="12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CONFIDENTIAL — This report has been prepared exclusively for the named client. Not for distribution.</w:t>
      </w:r>
    </w:p>
    <w:p>
      <w:r>
        <w:br w:type="page"/>
      </w:r>
    </w:p>
    <w:p>
      <w:pPr>
        <w:shd w:fill="0A1628" w:color="auto" w:val="clear"/>
        <w:spacing w:after="160" w:before="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Executive Summary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[Write 3-4 sentences summarising the key findings and top recommendations from this session. This is the paragraph the client reads first and shares with others — make it crisp and impactful.]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pBdr>
          <w:left w:val="thick" w:color="01A1B7" w:sz="18" w:space="6"/>
        </w:pBdr>
        <w:spacing w:after="120" w:before="240"/>
      </w:pPr>
      <w:r>
        <w:rPr>
          <w:rFonts w:ascii="Calibri" w:cs="Calibri" w:eastAsia="Calibri" w:hAnsi="Calibri"/>
          <w:b/>
          <w:bCs/>
          <w:color w:val="0A1628"/>
          <w:sz w:val="24"/>
          <w:szCs w:val="24"/>
        </w:rPr>
        <w:t xml:space="preserve">Digital Maturity Assessment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Dimension</w:t>
            </w:r>
          </w:p>
        </w:tc>
        <w:tc>
          <w:tcPr>
            <w:tcW w:type="dxa" w:w="18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Current Score (/10)</w:t>
            </w:r>
          </w:p>
        </w:tc>
        <w:tc>
          <w:tcPr>
            <w:tcW w:type="dxa" w:w="16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Benchmark</w:t>
            </w:r>
          </w:p>
        </w:tc>
        <w:tc>
          <w:tcPr>
            <w:tcW w:type="dxa" w:w="2672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30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Digital Presence (web, social, SEO)</w:t>
            </w:r>
          </w:p>
        </w:tc>
        <w:tc>
          <w:tcPr>
            <w:tcW w:type="dxa" w:w="18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[Score]</w:t>
            </w:r>
          </w:p>
        </w:tc>
        <w:tc>
          <w:tcPr>
            <w:tcW w:type="dxa" w:w="16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7/10</w:t>
            </w:r>
          </w:p>
        </w:tc>
        <w:tc>
          <w:tcPr>
            <w:tcW w:type="dxa" w:w="26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 / Medium / Low</w:t>
            </w:r>
          </w:p>
        </w:tc>
      </w:tr>
      <w:tr>
        <w:tc>
          <w:tcPr>
            <w:tcW w:type="dxa" w:w="30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Process Automation</w:t>
            </w:r>
          </w:p>
        </w:tc>
        <w:tc>
          <w:tcPr>
            <w:tcW w:type="dxa" w:w="18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[Score]</w:t>
            </w:r>
          </w:p>
        </w:tc>
        <w:tc>
          <w:tcPr>
            <w:tcW w:type="dxa" w:w="16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6/10</w:t>
            </w:r>
          </w:p>
        </w:tc>
        <w:tc>
          <w:tcPr>
            <w:tcW w:type="dxa" w:w="2672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 / Medium / Low</w:t>
            </w:r>
          </w:p>
        </w:tc>
      </w:tr>
      <w:tr>
        <w:tc>
          <w:tcPr>
            <w:tcW w:type="dxa" w:w="30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 &amp; Analytics</w:t>
            </w:r>
          </w:p>
        </w:tc>
        <w:tc>
          <w:tcPr>
            <w:tcW w:type="dxa" w:w="18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[Score]</w:t>
            </w:r>
          </w:p>
        </w:tc>
        <w:tc>
          <w:tcPr>
            <w:tcW w:type="dxa" w:w="16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5/10</w:t>
            </w:r>
          </w:p>
        </w:tc>
        <w:tc>
          <w:tcPr>
            <w:tcW w:type="dxa" w:w="26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 / Medium / Low</w:t>
            </w:r>
          </w:p>
        </w:tc>
      </w:tr>
      <w:tr>
        <w:tc>
          <w:tcPr>
            <w:tcW w:type="dxa" w:w="30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Customer Experience (digital)</w:t>
            </w:r>
          </w:p>
        </w:tc>
        <w:tc>
          <w:tcPr>
            <w:tcW w:type="dxa" w:w="18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[Score]</w:t>
            </w:r>
          </w:p>
        </w:tc>
        <w:tc>
          <w:tcPr>
            <w:tcW w:type="dxa" w:w="16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6/10</w:t>
            </w:r>
          </w:p>
        </w:tc>
        <w:tc>
          <w:tcPr>
            <w:tcW w:type="dxa" w:w="2672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 / Medium / Low</w:t>
            </w:r>
          </w:p>
        </w:tc>
      </w:tr>
      <w:tr>
        <w:tc>
          <w:tcPr>
            <w:tcW w:type="dxa" w:w="30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Marketing &amp; Lead Generation</w:t>
            </w:r>
          </w:p>
        </w:tc>
        <w:tc>
          <w:tcPr>
            <w:tcW w:type="dxa" w:w="18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[Score]</w:t>
            </w:r>
          </w:p>
        </w:tc>
        <w:tc>
          <w:tcPr>
            <w:tcW w:type="dxa" w:w="16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6/10</w:t>
            </w:r>
          </w:p>
        </w:tc>
        <w:tc>
          <w:tcPr>
            <w:tcW w:type="dxa" w:w="26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 / Medium / Low</w:t>
            </w:r>
          </w:p>
        </w:tc>
      </w:tr>
      <w:tr>
        <w:tc>
          <w:tcPr>
            <w:tcW w:type="dxa" w:w="30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 Stack</w:t>
            </w:r>
          </w:p>
        </w:tc>
        <w:tc>
          <w:tcPr>
            <w:tcW w:type="dxa" w:w="18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[Score]</w:t>
            </w:r>
          </w:p>
        </w:tc>
        <w:tc>
          <w:tcPr>
            <w:tcW w:type="dxa" w:w="16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6/10</w:t>
            </w:r>
          </w:p>
        </w:tc>
        <w:tc>
          <w:tcPr>
            <w:tcW w:type="dxa" w:w="2672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 / Medium / Low</w:t>
            </w:r>
          </w:p>
        </w:tc>
      </w:tr>
      <w:tr>
        <w:tc>
          <w:tcPr>
            <w:tcW w:type="dxa" w:w="30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Overall Digital Maturity</w:t>
            </w:r>
          </w:p>
        </w:tc>
        <w:tc>
          <w:tcPr>
            <w:tcW w:type="dxa" w:w="18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[Average]</w:t>
            </w:r>
          </w:p>
        </w:tc>
        <w:tc>
          <w:tcPr>
            <w:tcW w:type="dxa" w:w="16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6/10</w:t>
            </w:r>
          </w:p>
        </w:tc>
        <w:tc>
          <w:tcPr>
            <w:tcW w:type="dxa" w:w="26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pBdr>
          <w:left w:val="thick" w:color="01A1B7" w:sz="18" w:space="6"/>
        </w:pBdr>
        <w:spacing w:after="120" w:before="240"/>
      </w:pPr>
      <w:r>
        <w:rPr>
          <w:rFonts w:ascii="Calibri" w:cs="Calibri" w:eastAsia="Calibri" w:hAnsi="Calibri"/>
          <w:b/>
          <w:bCs/>
          <w:color w:val="0A1628"/>
          <w:sz w:val="24"/>
          <w:szCs w:val="24"/>
        </w:rPr>
        <w:t xml:space="preserve">Top 3 Priority Recommendations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1.  [Priority recommendation — most impactful, most urgent]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2.  [Priority recommendation — significant impact, achievable]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3.  [Priority recommendation — longer-term, strategic]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r>
        <w:br w:type="page"/>
      </w:r>
    </w:p>
    <w:p>
      <w:pPr>
        <w:shd w:fill="0A1628" w:color="auto" w:val="clear"/>
        <w:spacing w:after="160" w:before="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1.  Discovery — Business Context</w:t>
      </w:r>
    </w:p>
    <w:p>
      <w:pPr>
        <w:pBdr>
          <w:left w:val="thick" w:color="01A1B7" w:sz="18" w:space="6"/>
        </w:pBdr>
        <w:spacing w:after="120" w:before="240"/>
      </w:pPr>
      <w:r>
        <w:rPr>
          <w:rFonts w:ascii="Calibri" w:cs="Calibri" w:eastAsia="Calibri" w:hAnsi="Calibri"/>
          <w:b/>
          <w:bCs/>
          <w:color w:val="0A1628"/>
          <w:sz w:val="24"/>
          <w:szCs w:val="24"/>
        </w:rPr>
        <w:t xml:space="preserve">Business Overview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Company: </w:t>
      </w:r>
      <w:r>
        <w:rPr>
          <w:rFonts w:ascii="Calibri" w:cs="Calibri" w:eastAsia="Calibri" w:hAnsi="Calibri"/>
          <w:sz w:val="22"/>
          <w:szCs w:val="22"/>
        </w:rPr>
        <w:t xml:space="preserve">[Company name]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Industry / Sector: </w:t>
      </w:r>
      <w:r>
        <w:rPr>
          <w:rFonts w:ascii="Calibri" w:cs="Calibri" w:eastAsia="Calibri" w:hAnsi="Calibri"/>
          <w:sz w:val="22"/>
          <w:szCs w:val="22"/>
        </w:rPr>
        <w:t xml:space="preserve">[Industry]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Years in operation: </w:t>
      </w:r>
      <w:r>
        <w:rPr>
          <w:rFonts w:ascii="Calibri" w:cs="Calibri" w:eastAsia="Calibri" w:hAnsi="Calibri"/>
          <w:sz w:val="22"/>
          <w:szCs w:val="22"/>
        </w:rPr>
        <w:t xml:space="preserve">[Years]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Annual revenue (approx.): </w:t>
      </w:r>
      <w:r>
        <w:rPr>
          <w:rFonts w:ascii="Calibri" w:cs="Calibri" w:eastAsia="Calibri" w:hAnsi="Calibri"/>
          <w:sz w:val="22"/>
          <w:szCs w:val="22"/>
        </w:rPr>
        <w:t xml:space="preserve">[Revenue band]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Number of employees: </w:t>
      </w:r>
      <w:r>
        <w:rPr>
          <w:rFonts w:ascii="Calibri" w:cs="Calibri" w:eastAsia="Calibri" w:hAnsi="Calibri"/>
          <w:sz w:val="22"/>
          <w:szCs w:val="22"/>
        </w:rPr>
        <w:t xml:space="preserve">[Headcount]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Primary products / services: </w:t>
      </w:r>
      <w:r>
        <w:rPr>
          <w:rFonts w:ascii="Calibri" w:cs="Calibri" w:eastAsia="Calibri" w:hAnsi="Calibri"/>
          <w:sz w:val="22"/>
          <w:szCs w:val="22"/>
        </w:rPr>
        <w:t xml:space="preserve">[Description]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Geographic footprint: </w:t>
      </w:r>
      <w:r>
        <w:rPr>
          <w:rFonts w:ascii="Calibri" w:cs="Calibri" w:eastAsia="Calibri" w:hAnsi="Calibri"/>
          <w:sz w:val="22"/>
          <w:szCs w:val="22"/>
        </w:rPr>
        <w:t xml:space="preserve">[Local / National / Regional]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pBdr>
          <w:left w:val="thick" w:color="01A1B7" w:sz="18" w:space="6"/>
        </w:pBdr>
        <w:spacing w:after="120" w:before="240"/>
      </w:pPr>
      <w:r>
        <w:rPr>
          <w:rFonts w:ascii="Calibri" w:cs="Calibri" w:eastAsia="Calibri" w:hAnsi="Calibri"/>
          <w:b/>
          <w:bCs/>
          <w:color w:val="0A1628"/>
          <w:sz w:val="24"/>
          <w:szCs w:val="24"/>
        </w:rPr>
        <w:t xml:space="preserve">Current Digital Footprint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Website: </w:t>
      </w:r>
      <w:r>
        <w:rPr>
          <w:rFonts w:ascii="Calibri" w:cs="Calibri" w:eastAsia="Calibri" w:hAnsi="Calibri"/>
          <w:sz w:val="22"/>
          <w:szCs w:val="22"/>
        </w:rPr>
        <w:t xml:space="preserve">[URL or 'None']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Social media presence: </w:t>
      </w:r>
      <w:r>
        <w:rPr>
          <w:rFonts w:ascii="Calibri" w:cs="Calibri" w:eastAsia="Calibri" w:hAnsi="Calibri"/>
          <w:sz w:val="22"/>
          <w:szCs w:val="22"/>
        </w:rPr>
        <w:t xml:space="preserve">[Platforms active on]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Google Business Profile: </w:t>
      </w:r>
      <w:r>
        <w:rPr>
          <w:rFonts w:ascii="Calibri" w:cs="Calibri" w:eastAsia="Calibri" w:hAnsi="Calibri"/>
          <w:sz w:val="22"/>
          <w:szCs w:val="22"/>
        </w:rPr>
        <w:t xml:space="preserve">[Yes / No / Claimed but inactive]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E-commerce: </w:t>
      </w:r>
      <w:r>
        <w:rPr>
          <w:rFonts w:ascii="Calibri" w:cs="Calibri" w:eastAsia="Calibri" w:hAnsi="Calibri"/>
          <w:sz w:val="22"/>
          <w:szCs w:val="22"/>
        </w:rPr>
        <w:t xml:space="preserve">[Yes / No — platform if yes]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CRM / Sales tool: </w:t>
      </w:r>
      <w:r>
        <w:rPr>
          <w:rFonts w:ascii="Calibri" w:cs="Calibri" w:eastAsia="Calibri" w:hAnsi="Calibri"/>
          <w:sz w:val="22"/>
          <w:szCs w:val="22"/>
        </w:rPr>
        <w:t xml:space="preserve">[Name or 'None']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Key software tools in use: </w:t>
      </w:r>
      <w:r>
        <w:rPr>
          <w:rFonts w:ascii="Calibri" w:cs="Calibri" w:eastAsia="Calibri" w:hAnsi="Calibri"/>
          <w:sz w:val="22"/>
          <w:szCs w:val="22"/>
        </w:rPr>
        <w:t xml:space="preserve">[List]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pBdr>
          <w:left w:val="thick" w:color="01A1B7" w:sz="18" w:space="6"/>
        </w:pBdr>
        <w:spacing w:after="120" w:before="240"/>
      </w:pPr>
      <w:r>
        <w:rPr>
          <w:rFonts w:ascii="Calibri" w:cs="Calibri" w:eastAsia="Calibri" w:hAnsi="Calibri"/>
          <w:b/>
          <w:bCs/>
          <w:color w:val="0A1628"/>
          <w:sz w:val="24"/>
          <w:szCs w:val="24"/>
        </w:rPr>
        <w:t xml:space="preserve">Strategic Context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[Notes from the discovery conversation — what is the client trying to achieve in the next 12-24 months? What is their biggest fear? What keeps them up at night?]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r>
        <w:br w:type="page"/>
      </w:r>
    </w:p>
    <w:p>
      <w:pPr>
        <w:shd w:fill="0A1628" w:color="auto" w:val="clear"/>
        <w:spacing w:after="160" w:before="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2.  Assessment — Findings</w:t>
      </w:r>
    </w:p>
    <w:p>
      <w:pPr>
        <w:pBdr>
          <w:left w:val="thick" w:color="01A1B7" w:sz="18" w:space="6"/>
        </w:pBdr>
        <w:spacing w:after="120" w:before="240"/>
      </w:pPr>
      <w:r>
        <w:rPr>
          <w:rFonts w:ascii="Calibri" w:cs="Calibri" w:eastAsia="Calibri" w:hAnsi="Calibri"/>
          <w:b/>
          <w:bCs/>
          <w:color w:val="0A1628"/>
          <w:sz w:val="24"/>
          <w:szCs w:val="24"/>
        </w:rPr>
        <w:t xml:space="preserve">Strengths (What Is Working)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[Strength 1]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[Strength 2]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[Strength 3]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pBdr>
          <w:left w:val="thick" w:color="01A1B7" w:sz="18" w:space="6"/>
        </w:pBdr>
        <w:spacing w:after="120" w:before="240"/>
      </w:pPr>
      <w:r>
        <w:rPr>
          <w:rFonts w:ascii="Calibri" w:cs="Calibri" w:eastAsia="Calibri" w:hAnsi="Calibri"/>
          <w:b/>
          <w:bCs/>
          <w:color w:val="0A1628"/>
          <w:sz w:val="24"/>
          <w:szCs w:val="24"/>
        </w:rPr>
        <w:t xml:space="preserve">Gaps &amp; Opportunities (What Is Not Working)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[Gap 1 — and the cost/impact of leaving it unaddressed]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[Gap 2]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[Gap 3]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[Gap 4]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pBdr>
          <w:left w:val="thick" w:color="01A1B7" w:sz="18" w:space="6"/>
        </w:pBdr>
        <w:spacing w:after="120" w:before="240"/>
      </w:pPr>
      <w:r>
        <w:rPr>
          <w:rFonts w:ascii="Calibri" w:cs="Calibri" w:eastAsia="Calibri" w:hAnsi="Calibri"/>
          <w:b/>
          <w:bCs/>
          <w:color w:val="0A1628"/>
          <w:sz w:val="24"/>
          <w:szCs w:val="24"/>
        </w:rPr>
        <w:t xml:space="preserve">Key Risks Identified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[Risk 1]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[Risk 2]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r>
        <w:br w:type="page"/>
      </w:r>
    </w:p>
    <w:p>
      <w:pPr>
        <w:shd w:fill="0A1628" w:color="auto" w:val="clear"/>
        <w:spacing w:after="160" w:before="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3.  Recommendations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following recommendations are prioritised by impact and effort. They are specific to your business context, resource constraints, and goals.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2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Recommendation</w:t>
            </w:r>
          </w:p>
        </w:tc>
        <w:tc>
          <w:tcPr>
            <w:tcW w:type="dxa" w:w="26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 Outcome</w:t>
            </w:r>
          </w:p>
        </w:tc>
        <w:tc>
          <w:tcPr>
            <w:tcW w:type="dxa" w:w="12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tcW w:type="dxa" w:w="1672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4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[Recommendation]</w:t>
            </w:r>
          </w:p>
        </w:tc>
        <w:tc>
          <w:tcPr>
            <w:tcW w:type="dxa" w:w="26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[Outcome]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Low / Med / High</w:t>
            </w:r>
          </w:p>
        </w:tc>
        <w:tc>
          <w:tcPr>
            <w:tcW w:type="dxa" w:w="16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Immediate</w:t>
            </w:r>
          </w:p>
        </w:tc>
      </w:tr>
      <w:tr>
        <w:tc>
          <w:tcPr>
            <w:tcW w:type="dxa" w:w="4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[Recommendation]</w:t>
            </w:r>
          </w:p>
        </w:tc>
        <w:tc>
          <w:tcPr>
            <w:tcW w:type="dxa" w:w="26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[Outcome]</w:t>
            </w:r>
          </w:p>
        </w:tc>
        <w:tc>
          <w:tcPr>
            <w:tcW w:type="dxa" w:w="12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Low / Med / High</w:t>
            </w:r>
          </w:p>
        </w:tc>
        <w:tc>
          <w:tcPr>
            <w:tcW w:type="dxa" w:w="1672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Short-term</w:t>
            </w:r>
          </w:p>
        </w:tc>
      </w:tr>
      <w:tr>
        <w:tc>
          <w:tcPr>
            <w:tcW w:type="dxa" w:w="4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[Recommendation]</w:t>
            </w:r>
          </w:p>
        </w:tc>
        <w:tc>
          <w:tcPr>
            <w:tcW w:type="dxa" w:w="26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[Outcome]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Low / Med / High</w:t>
            </w:r>
          </w:p>
        </w:tc>
        <w:tc>
          <w:tcPr>
            <w:tcW w:type="dxa" w:w="16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Short-term</w:t>
            </w:r>
          </w:p>
        </w:tc>
      </w:tr>
      <w:tr>
        <w:tc>
          <w:tcPr>
            <w:tcW w:type="dxa" w:w="4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[Recommendation]</w:t>
            </w:r>
          </w:p>
        </w:tc>
        <w:tc>
          <w:tcPr>
            <w:tcW w:type="dxa" w:w="26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[Outcome]</w:t>
            </w:r>
          </w:p>
        </w:tc>
        <w:tc>
          <w:tcPr>
            <w:tcW w:type="dxa" w:w="12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Low / Med / High</w:t>
            </w:r>
          </w:p>
        </w:tc>
        <w:tc>
          <w:tcPr>
            <w:tcW w:type="dxa" w:w="1672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Medium-term</w:t>
            </w:r>
          </w:p>
        </w:tc>
      </w:tr>
      <w:tr>
        <w:tc>
          <w:tcPr>
            <w:tcW w:type="dxa" w:w="4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[Recommendation]</w:t>
            </w:r>
          </w:p>
        </w:tc>
        <w:tc>
          <w:tcPr>
            <w:tcW w:type="dxa" w:w="26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[Outcome]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Low / Med / High</w:t>
            </w:r>
          </w:p>
        </w:tc>
        <w:tc>
          <w:tcPr>
            <w:tcW w:type="dxa" w:w="16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Medium-term</w:t>
            </w:r>
          </w:p>
        </w:tc>
      </w:tr>
      <w:tr>
        <w:tc>
          <w:tcPr>
            <w:tcW w:type="dxa" w:w="4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[Recommendation]</w:t>
            </w:r>
          </w:p>
        </w:tc>
        <w:tc>
          <w:tcPr>
            <w:tcW w:type="dxa" w:w="26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[Outcome]</w:t>
            </w:r>
          </w:p>
        </w:tc>
        <w:tc>
          <w:tcPr>
            <w:tcW w:type="dxa" w:w="12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Low / Med / High</w:t>
            </w:r>
          </w:p>
        </w:tc>
        <w:tc>
          <w:tcPr>
            <w:tcW w:type="dxa" w:w="1672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Long-term</w:t>
            </w:r>
          </w:p>
        </w:tc>
      </w:tr>
    </w:tbl>
    <w:p>
      <w:pPr>
        <w:spacing w:after="0" w:before="0"/>
      </w:pPr>
      <w:r>
        <w:rPr>
          <w:sz w:val="24"/>
          <w:szCs w:val="24"/>
        </w:rPr>
        <w:t xml:space="preserve"/>
      </w:r>
    </w:p>
    <w:p>
      <w:r>
        <w:br w:type="page"/>
      </w:r>
    </w:p>
    <w:p>
      <w:pPr>
        <w:shd w:fill="0A1628" w:color="auto" w:val="clear"/>
        <w:spacing w:after="160" w:before="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4.  Digital Transformation Roadmap</w:t>
      </w:r>
    </w:p>
    <w:p>
      <w:pPr>
        <w:pBdr>
          <w:left w:val="thick" w:color="01A1B7" w:sz="18" w:space="6"/>
        </w:pBdr>
        <w:spacing w:after="120" w:before="240"/>
      </w:pPr>
      <w:r>
        <w:rPr>
          <w:rFonts w:ascii="Calibri" w:cs="Calibri" w:eastAsia="Calibri" w:hAnsi="Calibri"/>
          <w:b/>
          <w:bCs/>
          <w:color w:val="0A1628"/>
          <w:sz w:val="24"/>
          <w:szCs w:val="24"/>
        </w:rPr>
        <w:t xml:space="preserve">Now (0–90 days) — Quick Wins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[Initiative — specific, actionable]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[Initiative]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[Initiative]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pBdr>
          <w:left w:val="thick" w:color="01A1B7" w:sz="18" w:space="6"/>
        </w:pBdr>
        <w:spacing w:after="120" w:before="240"/>
      </w:pPr>
      <w:r>
        <w:rPr>
          <w:rFonts w:ascii="Calibri" w:cs="Calibri" w:eastAsia="Calibri" w:hAnsi="Calibri"/>
          <w:b/>
          <w:bCs/>
          <w:color w:val="0A1628"/>
          <w:sz w:val="24"/>
          <w:szCs w:val="24"/>
        </w:rPr>
        <w:t xml:space="preserve">Next (90 days–6 months) — Foundation Building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[Initiative]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[Initiative]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[Initiative]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pBdr>
          <w:left w:val="thick" w:color="01A1B7" w:sz="18" w:space="6"/>
        </w:pBdr>
        <w:spacing w:after="120" w:before="240"/>
      </w:pPr>
      <w:r>
        <w:rPr>
          <w:rFonts w:ascii="Calibri" w:cs="Calibri" w:eastAsia="Calibri" w:hAnsi="Calibri"/>
          <w:b/>
          <w:bCs/>
          <w:color w:val="0A1628"/>
          <w:sz w:val="24"/>
          <w:szCs w:val="24"/>
        </w:rPr>
        <w:t xml:space="preserve">Later (6–12 months) — Growth &amp; Scale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[Initiative]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[Initiative]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pBdr>
          <w:left w:val="thick" w:color="01A1B7" w:sz="18" w:space="6"/>
        </w:pBdr>
        <w:spacing w:after="120" w:before="240"/>
      </w:pPr>
      <w:r>
        <w:rPr>
          <w:rFonts w:ascii="Calibri" w:cs="Calibri" w:eastAsia="Calibri" w:hAnsi="Calibri"/>
          <w:b/>
          <w:bCs/>
          <w:color w:val="0A1628"/>
          <w:sz w:val="24"/>
          <w:szCs w:val="24"/>
        </w:rPr>
        <w:t xml:space="preserve">Future (12+ months) — Strategic Horizon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[Initiative]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[Initiative]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r>
        <w:br w:type="page"/>
      </w:r>
    </w:p>
    <w:p>
      <w:pPr>
        <w:shd w:fill="0A1628" w:color="auto" w:val="clear"/>
        <w:spacing w:after="160" w:before="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5.  Agreed Next Steps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35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15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dxa" w:w="15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Due Date</w:t>
            </w:r>
          </w:p>
        </w:tc>
        <w:tc>
          <w:tcPr>
            <w:tcW w:type="dxa" w:w="2572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5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[Action item]</w:t>
            </w:r>
          </w:p>
        </w:tc>
        <w:tc>
          <w:tcPr>
            <w:tcW w:type="dxa" w:w="15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[Vula / Client]</w:t>
            </w:r>
          </w:p>
        </w:tc>
        <w:tc>
          <w:tcPr>
            <w:tcW w:type="dxa" w:w="15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[Date]</w:t>
            </w:r>
          </w:p>
        </w:tc>
        <w:tc>
          <w:tcPr>
            <w:tcW w:type="dxa" w:w="25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[Any relevant notes]</w:t>
            </w:r>
          </w:p>
        </w:tc>
      </w:tr>
      <w:tr>
        <w:tc>
          <w:tcPr>
            <w:tcW w:type="dxa" w:w="35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[Action item]</w:t>
            </w:r>
          </w:p>
        </w:tc>
        <w:tc>
          <w:tcPr>
            <w:tcW w:type="dxa" w:w="15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[Owner]</w:t>
            </w:r>
          </w:p>
        </w:tc>
        <w:tc>
          <w:tcPr>
            <w:tcW w:type="dxa" w:w="15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[Date]</w:t>
            </w:r>
          </w:p>
        </w:tc>
        <w:tc>
          <w:tcPr>
            <w:tcW w:type="dxa" w:w="2572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[Action item]</w:t>
            </w:r>
          </w:p>
        </w:tc>
        <w:tc>
          <w:tcPr>
            <w:tcW w:type="dxa" w:w="15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[Owner]</w:t>
            </w:r>
          </w:p>
        </w:tc>
        <w:tc>
          <w:tcPr>
            <w:tcW w:type="dxa" w:w="15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[Date]</w:t>
            </w:r>
          </w:p>
        </w:tc>
        <w:tc>
          <w:tcPr>
            <w:tcW w:type="dxa" w:w="25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[Action item]</w:t>
            </w:r>
          </w:p>
        </w:tc>
        <w:tc>
          <w:tcPr>
            <w:tcW w:type="dxa" w:w="15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[Owner]</w:t>
            </w:r>
          </w:p>
        </w:tc>
        <w:tc>
          <w:tcPr>
            <w:tcW w:type="dxa" w:w="15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[Date]</w:t>
            </w:r>
          </w:p>
        </w:tc>
        <w:tc>
          <w:tcPr>
            <w:tcW w:type="dxa" w:w="2572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Vula to follow up on next steps</w:t>
            </w:r>
          </w:p>
        </w:tc>
        <w:tc>
          <w:tcPr>
            <w:tcW w:type="dxa" w:w="15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Shiven Pillay</w:t>
            </w:r>
          </w:p>
        </w:tc>
        <w:tc>
          <w:tcPr>
            <w:tcW w:type="dxa" w:w="15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[Date + 5 days]</w:t>
            </w:r>
          </w:p>
        </w:tc>
        <w:tc>
          <w:tcPr>
            <w:tcW w:type="dxa" w:w="25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pBdr>
          <w:left w:val="thick" w:color="01A1B7" w:sz="18" w:space="6"/>
        </w:pBdr>
        <w:spacing w:after="120" w:before="240"/>
      </w:pPr>
      <w:r>
        <w:rPr>
          <w:rFonts w:ascii="Calibri" w:cs="Calibri" w:eastAsia="Calibri" w:hAnsi="Calibri"/>
          <w:b/>
          <w:bCs/>
          <w:color w:val="0A1628"/>
          <w:sz w:val="24"/>
          <w:szCs w:val="24"/>
        </w:rPr>
        <w:t xml:space="preserve">Proposed Vula Engagement (if proceeding)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[Describe which Vula product(s) are proposed as the next step based on this report's findings]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[e.g. Launch™ to address digital presence gap — proposal to follow within 5 business days]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6B7280"/>
          <w:sz w:val="22"/>
          <w:szCs w:val="22"/>
        </w:rPr>
        <w:t xml:space="preserve">This report was prepared based on information disclosed during the Compass session. Recommendations are based on the information available at the time of the session.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pBdr>
          <w:bottom w:val="single" w:color="01A1B7" w:sz="6"/>
        </w:pBdr>
        <w:spacing w:after="240"/>
      </w:pP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7280"/>
          <w:sz w:val="22"/>
          <w:szCs w:val="22"/>
        </w:rPr>
        <w:t xml:space="preserve">Vula Solutions (Pty) Ltd  —  Compass Report  —  Confidential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2026-08-13T13:29:22.712Z</dcterms:created>
  <dcterms:modified xsi:type="dcterms:W3CDTF">2026-08-13T13:29:22.712Z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