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" w:after="40"/>
      </w:pPr>
      <w:r>
        <w:rPr>
          <w:rFonts w:ascii="Calibri" w:hAnsi="Calibri"/>
          <w:b/>
          <w:color w:val="64748B"/>
          <w:sz w:val="26"/>
        </w:rPr>
        <w:t>O(Alpha)</w:t>
      </w:r>
    </w:p>
    <w:p>
      <w:pPr>
        <w:spacing w:after="80"/>
      </w:pPr>
      <w:r>
        <w:rPr>
          <w:rFonts w:ascii="Calibri" w:hAnsi="Calibri"/>
          <w:b/>
          <w:color w:val="0F172A"/>
          <w:sz w:val="48"/>
        </w:rPr>
        <w:t>Evaluation Summary and User Testing Readout</w:t>
      </w:r>
    </w:p>
    <w:p>
      <w:pPr>
        <w:spacing w:after="240"/>
      </w:pPr>
      <w:r>
        <w:rPr>
          <w:rFonts w:ascii="Calibri" w:hAnsi="Calibri"/>
          <w:color w:val="64748B"/>
          <w:sz w:val="26"/>
        </w:rPr>
        <w:t>Solution suitability, simulated proxy user feedback, and next research plan</w:t>
      </w:r>
    </w:p>
    <w:p>
      <w:pPr>
        <w:spacing w:after="40"/>
      </w:pPr>
      <w:r>
        <w:rPr>
          <w:rFonts w:ascii="Calibri" w:hAnsi="Calibri"/>
          <w:b/>
          <w:color w:val="0F172A"/>
          <w:sz w:val="21"/>
        </w:rPr>
        <w:t xml:space="preserve">Prepared for: </w:t>
      </w:r>
      <w:r>
        <w:rPr>
          <w:rFonts w:ascii="Calibri" w:hAnsi="Calibri"/>
          <w:color w:val="0F172A"/>
          <w:sz w:val="21"/>
        </w:rPr>
        <w:t>O(Alpha) product and submission planning</w:t>
      </w:r>
    </w:p>
    <w:p>
      <w:pPr>
        <w:spacing w:after="40"/>
      </w:pPr>
      <w:r>
        <w:rPr>
          <w:rFonts w:ascii="Calibri" w:hAnsi="Calibri"/>
          <w:b/>
          <w:color w:val="0F172A"/>
          <w:sz w:val="21"/>
        </w:rPr>
        <w:t xml:space="preserve">Date: </w:t>
      </w:r>
      <w:r>
        <w:rPr>
          <w:rFonts w:ascii="Calibri" w:hAnsi="Calibri"/>
          <w:color w:val="0F172A"/>
          <w:sz w:val="21"/>
        </w:rPr>
        <w:t>8 July 2026</w:t>
      </w:r>
    </w:p>
    <w:p>
      <w:pPr>
        <w:spacing w:after="40"/>
      </w:pPr>
      <w:r>
        <w:rPr>
          <w:rFonts w:ascii="Calibri" w:hAnsi="Calibri"/>
          <w:b/>
          <w:color w:val="0F172A"/>
          <w:sz w:val="21"/>
        </w:rPr>
        <w:t xml:space="preserve">Evidence status: </w:t>
      </w:r>
      <w:r>
        <w:rPr>
          <w:rFonts w:ascii="Calibri" w:hAnsi="Calibri"/>
          <w:color w:val="0F172A"/>
          <w:sz w:val="21"/>
        </w:rPr>
        <w:t>Expert/self evaluation, heuristic walkthrough, and simulated proxy persona review completed</w:t>
      </w:r>
    </w:p>
    <w:p>
      <w:pPr>
        <w:spacing w:after="40"/>
      </w:pPr>
      <w:r>
        <w:rPr>
          <w:rFonts w:ascii="Calibri" w:hAnsi="Calibri"/>
          <w:b/>
          <w:color w:val="0F172A"/>
          <w:sz w:val="21"/>
        </w:rPr>
        <w:t xml:space="preserve">Integrity note: </w:t>
      </w:r>
      <w:r>
        <w:rPr>
          <w:rFonts w:ascii="Calibri" w:hAnsi="Calibri"/>
          <w:color w:val="0F172A"/>
          <w:sz w:val="21"/>
        </w:rPr>
        <w:t>No public launch, real user survey, or actual participant interview has been conducted yet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type="dxa" w:w="120"/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7ED"/>
          </w:tcPr>
          <w:p>
            <w:pPr>
              <w:spacing w:after="60"/>
            </w:pPr>
            <w:r>
              <w:rPr>
                <w:rFonts w:ascii="Calibri" w:hAnsi="Calibri"/>
                <w:b/>
                <w:color w:val="0F172A"/>
                <w:sz w:val="21"/>
              </w:rPr>
              <w:t>Recommended claim for the submission</w:t>
            </w:r>
          </w:p>
          <w:p>
            <w:pPr>
              <w:spacing w:after="0" w:line="264" w:lineRule="auto"/>
            </w:pPr>
            <w:r>
              <w:rPr>
                <w:rFonts w:ascii="Calibri" w:hAnsi="Calibri"/>
                <w:color w:val="0F172A"/>
                <w:sz w:val="21"/>
              </w:rPr>
              <w:t>The team used expert/self evaluation, a cognitive walkthrough / heuristic evaluation, and a simulated 10-person proxy persona review. Real participant interviews, low-fidelity tests, surveys, and high-fidelity usability tests are prepared as privacy-safe protocols but should not be marked as completed until fielded with real users.</w:t>
            </w:r>
          </w:p>
        </w:tc>
      </w:tr>
    </w:tbl>
    <w:p>
      <w:pPr>
        <w:spacing w:after="40"/>
      </w:pPr>
    </w:p>
    <w:p>
      <w:pPr>
        <w:pStyle w:val="Heading1"/>
      </w:pPr>
      <w:r>
        <w:t>1. Executive Summary</w:t>
      </w:r>
    </w:p>
    <w:p>
      <w:pPr>
        <w:spacing w:before="0" w:after="120" w:line="264" w:lineRule="auto"/>
      </w:pPr>
      <w:r>
        <w:rPr>
          <w:rFonts w:ascii="Calibri" w:hAnsi="Calibri"/>
          <w:color w:val="0F172A"/>
          <w:sz w:val="22"/>
        </w:rPr>
        <w:t>O(Alpha)'s core paper-trading workflow is understandable and safety-aware: users select a risk profile, run and accept a backtest, launch or terminate a paper agent, and are prevented from changing settings while a portfolio agent is active. The largest product gap is trust calibration. Users need stronger paper-only messaging, visible strategy evidence, and operational freshness indicators before they can confidently judge the system.</w:t>
      </w:r>
    </w:p>
    <w:p>
      <w:pPr>
        <w:pStyle w:val="ListBullet"/>
        <w:spacing w:after="80" w:line="276" w:lineRule="auto"/>
      </w:pPr>
      <w:r>
        <w:rPr>
          <w:rFonts w:ascii="Calibri" w:hAnsi="Calibri"/>
          <w:color w:val="0F172A"/>
          <w:sz w:val="22"/>
        </w:rPr>
        <w:t>Core workflow health: usable, with average simulated ease of 3.4/5.</w:t>
      </w:r>
    </w:p>
    <w:p>
      <w:pPr>
        <w:pStyle w:val="ListBullet"/>
        <w:spacing w:after="80" w:line="276" w:lineRule="auto"/>
      </w:pPr>
      <w:r>
        <w:rPr>
          <w:rFonts w:ascii="Calibri" w:hAnsi="Calibri"/>
          <w:color w:val="0F172A"/>
          <w:sz w:val="22"/>
        </w:rPr>
        <w:t>Trust confidence: moderate at 2.9/5, mainly because evidence is not visible enough in the UI.</w:t>
      </w:r>
    </w:p>
    <w:p>
      <w:pPr>
        <w:pStyle w:val="ListBullet"/>
        <w:spacing w:after="80" w:line="276" w:lineRule="auto"/>
      </w:pPr>
      <w:r>
        <w:rPr>
          <w:rFonts w:ascii="Calibri" w:hAnsi="Calibri"/>
          <w:color w:val="0F172A"/>
          <w:sz w:val="22"/>
        </w:rPr>
        <w:t>Transparency: weakest area at 2.5/5; validation proof is stronger in repo artifacts than in the app screens.</w:t>
      </w:r>
    </w:p>
    <w:p>
      <w:pPr>
        <w:pStyle w:val="ListBullet"/>
        <w:spacing w:after="80" w:line="276" w:lineRule="auto"/>
      </w:pPr>
      <w:r>
        <w:rPr>
          <w:rFonts w:ascii="Calibri" w:hAnsi="Calibri"/>
          <w:color w:val="0F172A"/>
          <w:sz w:val="22"/>
        </w:rPr>
        <w:t>Safety: active-agent settings lock was the most consistently positive signal, raised by 10/10 proxy personas.</w:t>
      </w:r>
    </w:p>
    <w:p>
      <w:pPr>
        <w:pStyle w:val="ListBullet"/>
        <w:spacing w:after="80" w:line="276" w:lineRule="auto"/>
      </w:pPr>
      <w:r>
        <w:rPr>
          <w:rFonts w:ascii="Calibri" w:hAnsi="Calibri"/>
          <w:color w:val="0F172A"/>
          <w:sz w:val="22"/>
        </w:rPr>
        <w:t>Top improvement: repeat paper-only / no brokerage orders messaging near Launch Agent, P&amp;L, backtest acceptance, and settings.</w:t>
      </w:r>
    </w:p>
    <w:p>
      <w:r>
        <w:br w:type="page"/>
      </w:r>
    </w:p>
    <w:p>
      <w:pPr>
        <w:pStyle w:val="Heading1"/>
      </w:pPr>
      <w:r>
        <w:t>2. Evaluation Methods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type="dxa" w:w="120"/>
      </w:tblPr>
      <w:tblGrid>
        <w:gridCol w:w="2500"/>
        <w:gridCol w:w="1600"/>
        <w:gridCol w:w="1400"/>
        <w:gridCol w:w="3860"/>
      </w:tblGrid>
      <w:tr>
        <w:trPr>
          <w:tblHeader w:val="true"/>
          <w:cantSplit/>
        </w:trPr>
        <w:tc>
          <w:tcPr>
            <w:tcW w:type="dxa" w:w="25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  <w:jc w:val="center"/>
            </w:pPr>
            <w:r>
              <w:rPr>
                <w:rFonts w:ascii="Calibri" w:hAnsi="Calibri"/>
                <w:b/>
                <w:color w:val="0F172A"/>
                <w:sz w:val="17"/>
              </w:rPr>
              <w:t>Method</w:t>
            </w:r>
          </w:p>
        </w:tc>
        <w:tc>
          <w:tcPr>
            <w:tcW w:type="dxa" w:w="16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  <w:jc w:val="center"/>
            </w:pPr>
            <w:r>
              <w:rPr>
                <w:rFonts w:ascii="Calibri" w:hAnsi="Calibri"/>
                <w:b/>
                <w:color w:val="0F172A"/>
                <w:sz w:val="17"/>
              </w:rPr>
              <w:t>Status</w:t>
            </w:r>
          </w:p>
        </w:tc>
        <w:tc>
          <w:tcPr>
            <w:tcW w:type="dxa" w:w="14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  <w:jc w:val="center"/>
            </w:pPr>
            <w:r>
              <w:rPr>
                <w:rFonts w:ascii="Calibri" w:hAnsi="Calibri"/>
                <w:b/>
                <w:color w:val="0F172A"/>
                <w:sz w:val="17"/>
              </w:rPr>
              <w:t>Select now?</w:t>
            </w:r>
          </w:p>
        </w:tc>
        <w:tc>
          <w:tcPr>
            <w:tcW w:type="dxa" w:w="386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  <w:jc w:val="center"/>
            </w:pPr>
            <w:r>
              <w:rPr>
                <w:rFonts w:ascii="Calibri" w:hAnsi="Calibri"/>
                <w:b/>
                <w:color w:val="0F172A"/>
                <w:sz w:val="17"/>
              </w:rPr>
              <w:t>Evidence or next step</w:t>
            </w:r>
          </w:p>
        </w:tc>
      </w:tr>
      <w:tr>
        <w:trPr>
          <w:cantSplit/>
        </w:trP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/>
                <w:b w:val="0"/>
                <w:color w:val="0F172A"/>
                <w:sz w:val="17"/>
              </w:rPr>
              <w:t>Expert / self evaluation</w:t>
            </w:r>
          </w:p>
        </w:tc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/>
                <w:b w:val="0"/>
                <w:color w:val="0F172A"/>
                <w:sz w:val="17"/>
              </w:rPr>
              <w:t>Completed</w:t>
            </w:r>
          </w:p>
        </w:tc>
        <w:tc>
          <w:tcPr>
            <w:tcW w:type="dxa" w:w="1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/>
                <w:b w:val="0"/>
                <w:color w:val="0F172A"/>
                <w:sz w:val="17"/>
              </w:rPr>
              <w:t>Yes</w:t>
            </w:r>
          </w:p>
        </w:tc>
        <w:tc>
          <w:tcPr>
            <w:tcW w:type="dxa" w:w="3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/>
                <w:b w:val="0"/>
                <w:color w:val="0F172A"/>
                <w:sz w:val="17"/>
              </w:rPr>
              <w:t>Review of docs, frontend flows, safety behavior, and validation story.</w:t>
            </w:r>
          </w:p>
        </w:tc>
      </w:tr>
      <w:tr>
        <w:trPr>
          <w:cantSplit/>
        </w:trP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/>
                <w:b w:val="0"/>
                <w:color w:val="0F172A"/>
                <w:sz w:val="17"/>
              </w:rPr>
              <w:t>Cognitive walkthrough / heuristic evaluation</w:t>
            </w:r>
          </w:p>
        </w:tc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/>
                <w:b w:val="0"/>
                <w:color w:val="0F172A"/>
                <w:sz w:val="17"/>
              </w:rPr>
              <w:t>Completed</w:t>
            </w:r>
          </w:p>
        </w:tc>
        <w:tc>
          <w:tcPr>
            <w:tcW w:type="dxa" w:w="1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/>
                <w:b w:val="0"/>
                <w:color w:val="0F172A"/>
                <w:sz w:val="17"/>
              </w:rPr>
              <w:t>Yes</w:t>
            </w:r>
          </w:p>
        </w:tc>
        <w:tc>
          <w:tcPr>
            <w:tcW w:type="dxa" w:w="3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/>
                <w:b w:val="0"/>
                <w:color w:val="0F172A"/>
                <w:sz w:val="17"/>
              </w:rPr>
              <w:t>Task walkthrough across onboarding, dashboard, launch/terminate, settings, and evidence discovery.</w:t>
            </w:r>
          </w:p>
        </w:tc>
      </w:tr>
      <w:tr>
        <w:trPr>
          <w:cantSplit/>
        </w:trP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/>
                <w:b w:val="0"/>
                <w:color w:val="0F172A"/>
                <w:sz w:val="17"/>
              </w:rPr>
              <w:t>Simulated user focus group</w:t>
            </w:r>
          </w:p>
        </w:tc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/>
                <w:b w:val="0"/>
                <w:color w:val="0F172A"/>
                <w:sz w:val="17"/>
              </w:rPr>
              <w:t>Completed, simulated</w:t>
            </w:r>
          </w:p>
        </w:tc>
        <w:tc>
          <w:tcPr>
            <w:tcW w:type="dxa" w:w="1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/>
                <w:b w:val="0"/>
                <w:color w:val="0F172A"/>
                <w:sz w:val="17"/>
              </w:rPr>
              <w:t>Yes, labelled simulated</w:t>
            </w:r>
          </w:p>
        </w:tc>
        <w:tc>
          <w:tcPr>
            <w:tcW w:type="dxa" w:w="3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/>
                <w:b w:val="0"/>
                <w:color w:val="0F172A"/>
                <w:sz w:val="17"/>
              </w:rPr>
              <w:t>Ten proxy personas; six from parallel subagent reviews and four local synthetic personas.</w:t>
            </w:r>
          </w:p>
        </w:tc>
      </w:tr>
      <w:tr>
        <w:trPr>
          <w:cantSplit/>
        </w:trP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/>
                <w:b w:val="0"/>
                <w:color w:val="0F172A"/>
                <w:sz w:val="17"/>
              </w:rPr>
              <w:t>Actual user focus group / interview</w:t>
            </w:r>
          </w:p>
        </w:tc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/>
                <w:b w:val="0"/>
                <w:color w:val="0F172A"/>
                <w:sz w:val="17"/>
              </w:rPr>
              <w:t>Not conducted</w:t>
            </w:r>
          </w:p>
        </w:tc>
        <w:tc>
          <w:tcPr>
            <w:tcW w:type="dxa" w:w="1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/>
                <w:b w:val="0"/>
                <w:color w:val="0F172A"/>
                <w:sz w:val="17"/>
              </w:rPr>
              <w:t>No</w:t>
            </w:r>
          </w:p>
        </w:tc>
        <w:tc>
          <w:tcPr>
            <w:tcW w:type="dxa" w:w="3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/>
                <w:b w:val="0"/>
                <w:color w:val="0F172A"/>
                <w:sz w:val="17"/>
              </w:rPr>
              <w:t>Private 10-person protocol prepared for future fielding.</w:t>
            </w:r>
          </w:p>
        </w:tc>
      </w:tr>
      <w:tr>
        <w:trPr>
          <w:cantSplit/>
        </w:trP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/>
                <w:b w:val="0"/>
                <w:color w:val="0F172A"/>
                <w:sz w:val="17"/>
              </w:rPr>
              <w:t>Low-fidelity usability testing</w:t>
            </w:r>
          </w:p>
        </w:tc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/>
                <w:b w:val="0"/>
                <w:color w:val="0F172A"/>
                <w:sz w:val="17"/>
              </w:rPr>
              <w:t>Not conducted</w:t>
            </w:r>
          </w:p>
        </w:tc>
        <w:tc>
          <w:tcPr>
            <w:tcW w:type="dxa" w:w="1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/>
                <w:b w:val="0"/>
                <w:color w:val="0F172A"/>
                <w:sz w:val="17"/>
              </w:rPr>
              <w:t>No</w:t>
            </w:r>
          </w:p>
        </w:tc>
        <w:tc>
          <w:tcPr>
            <w:tcW w:type="dxa" w:w="3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/>
                <w:b w:val="0"/>
                <w:color w:val="0F172A"/>
                <w:sz w:val="17"/>
              </w:rPr>
              <w:t>Figma/wireframe task protocol prepared.</w:t>
            </w:r>
          </w:p>
        </w:tc>
      </w:tr>
      <w:tr>
        <w:trPr>
          <w:cantSplit/>
        </w:trP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/>
                <w:b w:val="0"/>
                <w:color w:val="0F172A"/>
                <w:sz w:val="17"/>
              </w:rPr>
              <w:t>Survey of potential users</w:t>
            </w:r>
          </w:p>
        </w:tc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/>
                <w:b w:val="0"/>
                <w:color w:val="0F172A"/>
                <w:sz w:val="17"/>
              </w:rPr>
              <w:t>Not fielded</w:t>
            </w:r>
          </w:p>
        </w:tc>
        <w:tc>
          <w:tcPr>
            <w:tcW w:type="dxa" w:w="1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/>
                <w:b w:val="0"/>
                <w:color w:val="0F172A"/>
                <w:sz w:val="17"/>
              </w:rPr>
              <w:t>No</w:t>
            </w:r>
          </w:p>
        </w:tc>
        <w:tc>
          <w:tcPr>
            <w:tcW w:type="dxa" w:w="3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/>
                <w:b w:val="0"/>
                <w:color w:val="0F172A"/>
                <w:sz w:val="17"/>
              </w:rPr>
              <w:t>50-person survey plan and item bank prepared.</w:t>
            </w:r>
          </w:p>
        </w:tc>
      </w:tr>
      <w:tr>
        <w:trPr>
          <w:cantSplit/>
        </w:trP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/>
                <w:b w:val="0"/>
                <w:color w:val="0F172A"/>
                <w:sz w:val="17"/>
              </w:rPr>
              <w:t>High-fidelity usability testing</w:t>
            </w:r>
          </w:p>
        </w:tc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/>
                <w:b w:val="0"/>
                <w:color w:val="0F172A"/>
                <w:sz w:val="17"/>
              </w:rPr>
              <w:t>Not conducted with real users</w:t>
            </w:r>
          </w:p>
        </w:tc>
        <w:tc>
          <w:tcPr>
            <w:tcW w:type="dxa" w:w="1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/>
                <w:b w:val="0"/>
                <w:color w:val="0F172A"/>
                <w:sz w:val="17"/>
              </w:rPr>
              <w:t>No</w:t>
            </w:r>
          </w:p>
        </w:tc>
        <w:tc>
          <w:tcPr>
            <w:tcW w:type="dxa" w:w="3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/>
                <w:b w:val="0"/>
                <w:color w:val="0F172A"/>
                <w:sz w:val="17"/>
              </w:rPr>
              <w:t>Seeded-account working prototype protocol prepared.</w:t>
            </w:r>
          </w:p>
        </w:tc>
      </w:tr>
    </w:tbl>
    <w:p>
      <w:pPr>
        <w:spacing w:before="40" w:after="160"/>
      </w:pPr>
      <w:r>
        <w:rPr>
          <w:rFonts w:ascii="Calibri" w:hAnsi="Calibri"/>
          <w:i/>
          <w:color w:val="64748B"/>
          <w:sz w:val="18"/>
        </w:rPr>
        <w:t>Table 1. Evaluation method status. The actual-user methods are ready to field but not yet completed.</w:t>
      </w:r>
    </w:p>
    <w:p>
      <w:pPr>
        <w:pStyle w:val="Heading1"/>
      </w:pPr>
      <w:r>
        <w:t>3. Data Snapshot</w:t>
      </w:r>
    </w:p>
    <w:p>
      <w:r>
        <w:drawing>
          <wp:inline xmlns:a="http://schemas.openxmlformats.org/drawingml/2006/main" xmlns:pic="http://schemas.openxmlformats.org/drawingml/2006/picture">
            <wp:extent cx="5806440" cy="338709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Alpha_Evaluation_Data_Snapshot_2026-07-08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3870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</w:pPr>
      <w:r>
        <w:rPr>
          <w:rFonts w:ascii="Calibri" w:hAnsi="Calibri"/>
          <w:i/>
          <w:color w:val="64748B"/>
          <w:sz w:val="18"/>
        </w:rPr>
        <w:t>Figure 1. Summary visualization from simulated proxy evaluation data, N=10. Not real survey statistics.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type="dxa" w:w="120"/>
      </w:tblPr>
      <w:tblGrid>
        <w:gridCol w:w="2900"/>
        <w:gridCol w:w="1400"/>
        <w:gridCol w:w="5060"/>
      </w:tblGrid>
      <w:tr>
        <w:trPr>
          <w:tblHeader w:val="true"/>
          <w:cantSplit/>
        </w:trPr>
        <w:tc>
          <w:tcPr>
            <w:tcW w:type="dxa" w:w="29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  <w:jc w:val="center"/>
            </w:pPr>
            <w:r>
              <w:rPr>
                <w:rFonts w:ascii="Calibri" w:hAnsi="Calibri"/>
                <w:b/>
                <w:color w:val="0F172A"/>
                <w:sz w:val="18"/>
              </w:rPr>
              <w:t>Metric</w:t>
            </w:r>
          </w:p>
        </w:tc>
        <w:tc>
          <w:tcPr>
            <w:tcW w:type="dxa" w:w="14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  <w:jc w:val="center"/>
            </w:pPr>
            <w:r>
              <w:rPr>
                <w:rFonts w:ascii="Calibri" w:hAnsi="Calibri"/>
                <w:b/>
                <w:color w:val="0F172A"/>
                <w:sz w:val="18"/>
              </w:rPr>
              <w:t>Value</w:t>
            </w:r>
          </w:p>
        </w:tc>
        <w:tc>
          <w:tcPr>
            <w:tcW w:type="dxa" w:w="506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  <w:jc w:val="center"/>
            </w:pPr>
            <w:r>
              <w:rPr>
                <w:rFonts w:ascii="Calibri" w:hAnsi="Calibri"/>
                <w:b/>
                <w:color w:val="0F172A"/>
                <w:sz w:val="18"/>
              </w:rPr>
              <w:t>Meaning</w:t>
            </w:r>
          </w:p>
        </w:tc>
      </w:tr>
      <w:tr>
        <w:trPr>
          <w:cantSplit/>
        </w:trPr>
        <w:tc>
          <w:tcPr>
            <w:tcW w:type="dxa" w:w="2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/>
                <w:b w:val="0"/>
                <w:color w:val="0F172A"/>
                <w:sz w:val="18"/>
              </w:rPr>
              <w:t>Completed defensible methods</w:t>
            </w:r>
          </w:p>
        </w:tc>
        <w:tc>
          <w:tcPr>
            <w:tcW w:type="dxa" w:w="1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/>
                <w:b w:val="0"/>
                <w:color w:val="0F172A"/>
                <w:sz w:val="18"/>
              </w:rPr>
              <w:t>3 / 7</w:t>
            </w:r>
          </w:p>
        </w:tc>
        <w:tc>
          <w:tcPr>
            <w:tcW w:type="dxa" w:w="5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/>
                <w:b w:val="0"/>
                <w:color w:val="0F172A"/>
                <w:sz w:val="18"/>
              </w:rPr>
              <w:t>Expert/self evaluation, cognitive walkthrough, simulated user focus group.</w:t>
            </w:r>
          </w:p>
        </w:tc>
      </w:tr>
      <w:tr>
        <w:trPr>
          <w:cantSplit/>
        </w:trPr>
        <w:tc>
          <w:tcPr>
            <w:tcW w:type="dxa" w:w="2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/>
                <w:b w:val="0"/>
                <w:color w:val="0F172A"/>
                <w:sz w:val="18"/>
              </w:rPr>
              <w:t>Ready-to-field methods</w:t>
            </w:r>
          </w:p>
        </w:tc>
        <w:tc>
          <w:tcPr>
            <w:tcW w:type="dxa" w:w="1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/>
                <w:b w:val="0"/>
                <w:color w:val="0F172A"/>
                <w:sz w:val="18"/>
              </w:rPr>
              <w:t>4 / 7</w:t>
            </w:r>
          </w:p>
        </w:tc>
        <w:tc>
          <w:tcPr>
            <w:tcW w:type="dxa" w:w="5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/>
                <w:b w:val="0"/>
                <w:color w:val="0F172A"/>
                <w:sz w:val="18"/>
              </w:rPr>
              <w:t>Actual users, low-fi usability, survey, and high-fi usability protocols prepared.</w:t>
            </w:r>
          </w:p>
        </w:tc>
      </w:tr>
      <w:tr>
        <w:trPr>
          <w:cantSplit/>
        </w:trPr>
        <w:tc>
          <w:tcPr>
            <w:tcW w:type="dxa" w:w="2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/>
                <w:b w:val="0"/>
                <w:color w:val="0F172A"/>
                <w:sz w:val="18"/>
              </w:rPr>
              <w:t>Average ease rating</w:t>
            </w:r>
          </w:p>
        </w:tc>
        <w:tc>
          <w:tcPr>
            <w:tcW w:type="dxa" w:w="1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/>
                <w:b w:val="0"/>
                <w:color w:val="0F172A"/>
                <w:sz w:val="18"/>
              </w:rPr>
              <w:t>3.4 / 5</w:t>
            </w:r>
          </w:p>
        </w:tc>
        <w:tc>
          <w:tcPr>
            <w:tcW w:type="dxa" w:w="5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/>
                <w:b w:val="0"/>
                <w:color w:val="0F172A"/>
                <w:sz w:val="18"/>
              </w:rPr>
              <w:t>Users can likely complete the core flow.</w:t>
            </w:r>
          </w:p>
        </w:tc>
      </w:tr>
      <w:tr>
        <w:trPr>
          <w:cantSplit/>
        </w:trPr>
        <w:tc>
          <w:tcPr>
            <w:tcW w:type="dxa" w:w="2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/>
                <w:b w:val="0"/>
                <w:color w:val="0F172A"/>
                <w:sz w:val="18"/>
              </w:rPr>
              <w:t>Average confidence rating</w:t>
            </w:r>
          </w:p>
        </w:tc>
        <w:tc>
          <w:tcPr>
            <w:tcW w:type="dxa" w:w="1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/>
                <w:b w:val="0"/>
                <w:color w:val="0F172A"/>
                <w:sz w:val="18"/>
              </w:rPr>
              <w:t>2.9 / 5</w:t>
            </w:r>
          </w:p>
        </w:tc>
        <w:tc>
          <w:tcPr>
            <w:tcW w:type="dxa" w:w="5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/>
                <w:b w:val="0"/>
                <w:color w:val="0F172A"/>
                <w:sz w:val="18"/>
              </w:rPr>
              <w:t>Trust is moderate and needs stronger proof.</w:t>
            </w:r>
          </w:p>
        </w:tc>
      </w:tr>
      <w:tr>
        <w:trPr>
          <w:cantSplit/>
        </w:trPr>
        <w:tc>
          <w:tcPr>
            <w:tcW w:type="dxa" w:w="2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/>
                <w:b w:val="0"/>
                <w:color w:val="0F172A"/>
                <w:sz w:val="18"/>
              </w:rPr>
              <w:t>Average transparency rating</w:t>
            </w:r>
          </w:p>
        </w:tc>
        <w:tc>
          <w:tcPr>
            <w:tcW w:type="dxa" w:w="1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/>
                <w:b w:val="0"/>
                <w:color w:val="0F172A"/>
                <w:sz w:val="18"/>
              </w:rPr>
              <w:t>2.5 / 5</w:t>
            </w:r>
          </w:p>
        </w:tc>
        <w:tc>
          <w:tcPr>
            <w:tcW w:type="dxa" w:w="5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/>
                <w:b w:val="0"/>
                <w:color w:val="0F172A"/>
                <w:sz w:val="18"/>
              </w:rPr>
              <w:t>Evidence visibility and explanation are the biggest weaknesses.</w:t>
            </w:r>
          </w:p>
        </w:tc>
      </w:tr>
      <w:tr>
        <w:trPr>
          <w:cantSplit/>
        </w:trPr>
        <w:tc>
          <w:tcPr>
            <w:tcW w:type="dxa" w:w="2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/>
                <w:b w:val="0"/>
                <w:color w:val="0F172A"/>
                <w:sz w:val="18"/>
              </w:rPr>
              <w:t>Paper-only clarity requested</w:t>
            </w:r>
          </w:p>
        </w:tc>
        <w:tc>
          <w:tcPr>
            <w:tcW w:type="dxa" w:w="1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/>
                <w:b w:val="0"/>
                <w:color w:val="0F172A"/>
                <w:sz w:val="18"/>
              </w:rPr>
              <w:t>10 / 10</w:t>
            </w:r>
          </w:p>
        </w:tc>
        <w:tc>
          <w:tcPr>
            <w:tcW w:type="dxa" w:w="5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/>
                <w:b w:val="0"/>
                <w:color w:val="0F172A"/>
                <w:sz w:val="18"/>
              </w:rPr>
              <w:t>All proxy personas wanted clearer no-live-orders messaging.</w:t>
            </w:r>
          </w:p>
        </w:tc>
      </w:tr>
      <w:tr>
        <w:trPr>
          <w:cantSplit/>
        </w:trPr>
        <w:tc>
          <w:tcPr>
            <w:tcW w:type="dxa" w:w="2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/>
                <w:b w:val="0"/>
                <w:color w:val="0F172A"/>
                <w:sz w:val="18"/>
              </w:rPr>
              <w:t>Strategy evidence requested</w:t>
            </w:r>
          </w:p>
        </w:tc>
        <w:tc>
          <w:tcPr>
            <w:tcW w:type="dxa" w:w="1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/>
                <w:b w:val="0"/>
                <w:color w:val="0F172A"/>
                <w:sz w:val="18"/>
              </w:rPr>
              <w:t>9 / 10</w:t>
            </w:r>
          </w:p>
        </w:tc>
        <w:tc>
          <w:tcPr>
            <w:tcW w:type="dxa" w:w="5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/>
                <w:b w:val="0"/>
                <w:color w:val="0F172A"/>
                <w:sz w:val="18"/>
              </w:rPr>
              <w:t>Most proxy personas wanted DSR, PBO, benchmark, and report provenance in the UI.</w:t>
            </w:r>
          </w:p>
        </w:tc>
      </w:tr>
    </w:tbl>
    <w:p>
      <w:pPr>
        <w:spacing w:before="40" w:after="160"/>
      </w:pPr>
      <w:r>
        <w:rPr>
          <w:rFonts w:ascii="Calibri" w:hAnsi="Calibri"/>
          <w:i/>
          <w:color w:val="64748B"/>
          <w:sz w:val="18"/>
        </w:rPr>
        <w:t>Table 2. Headline data from the simulated proxy review and evaluation plan.</w:t>
      </w:r>
    </w:p>
    <w:p>
      <w:pPr>
        <w:pStyle w:val="Heading1"/>
      </w:pPr>
      <w:r>
        <w:t>4. Evaluation Findings By Method</w:t>
      </w:r>
    </w:p>
    <w:p>
      <w:pPr>
        <w:pStyle w:val="Heading2"/>
      </w:pPr>
      <w:r>
        <w:t>4.1 Expert / Self Evaluation</w:t>
      </w:r>
    </w:p>
    <w:p>
      <w:pPr>
        <w:spacing w:before="0" w:after="120" w:line="264" w:lineRule="auto"/>
      </w:pPr>
      <w:r>
        <w:rPr>
          <w:rFonts w:ascii="Calibri" w:hAnsi="Calibri"/>
          <w:color w:val="0F172A"/>
          <w:sz w:val="22"/>
        </w:rPr>
        <w:t>The expert review found that O(Alpha) is suitable as a controlled paper-trading prototype and research-to-paper workflow demo. It should not be presented as a live-trading product or as self-evidently validated without stronger in-product evidence surfaces.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type="dxa" w:w="120"/>
      </w:tblPr>
      <w:tblGrid>
        <w:gridCol w:w="1800"/>
        <w:gridCol w:w="900"/>
        <w:gridCol w:w="3300"/>
        <w:gridCol w:w="3360"/>
      </w:tblGrid>
      <w:tr>
        <w:trPr>
          <w:tblHeader w:val="true"/>
          <w:cantSplit/>
        </w:trPr>
        <w:tc>
          <w:tcPr>
            <w:tcW w:type="dxa" w:w="18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  <w:jc w:val="center"/>
            </w:pPr>
            <w:r>
              <w:rPr>
                <w:rFonts w:ascii="Calibri" w:hAnsi="Calibri"/>
                <w:b/>
                <w:color w:val="0F172A"/>
                <w:sz w:val="17"/>
              </w:rPr>
              <w:t>Feature</w:t>
            </w:r>
          </w:p>
        </w:tc>
        <w:tc>
          <w:tcPr>
            <w:tcW w:type="dxa" w:w="9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  <w:jc w:val="center"/>
            </w:pPr>
            <w:r>
              <w:rPr>
                <w:rFonts w:ascii="Calibri" w:hAnsi="Calibri"/>
                <w:b/>
                <w:color w:val="0F172A"/>
                <w:sz w:val="17"/>
              </w:rPr>
              <w:t>Rating</w:t>
            </w:r>
          </w:p>
        </w:tc>
        <w:tc>
          <w:tcPr>
            <w:tcW w:type="dxa" w:w="33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  <w:jc w:val="center"/>
            </w:pPr>
            <w:r>
              <w:rPr>
                <w:rFonts w:ascii="Calibri" w:hAnsi="Calibri"/>
                <w:b/>
                <w:color w:val="0F172A"/>
                <w:sz w:val="17"/>
              </w:rPr>
              <w:t>Analysis</w:t>
            </w:r>
          </w:p>
        </w:tc>
        <w:tc>
          <w:tcPr>
            <w:tcW w:type="dxa" w:w="336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  <w:jc w:val="center"/>
            </w:pPr>
            <w:r>
              <w:rPr>
                <w:rFonts w:ascii="Calibri" w:hAnsi="Calibri"/>
                <w:b/>
                <w:color w:val="0F172A"/>
                <w:sz w:val="17"/>
              </w:rPr>
              <w:t>Suggested improvement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/>
                <w:b w:val="0"/>
                <w:color w:val="0F172A"/>
                <w:sz w:val="17"/>
              </w:rPr>
              <w:t>Product scope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/>
                <w:b w:val="0"/>
                <w:color w:val="0F172A"/>
                <w:sz w:val="17"/>
              </w:rPr>
              <w:t>4/5</w:t>
            </w:r>
          </w:p>
        </w:tc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/>
                <w:b w:val="0"/>
                <w:color w:val="0F172A"/>
                <w:sz w:val="17"/>
              </w:rPr>
              <w:t>Research and paper trading scope is clearly safer than live trading.</w:t>
            </w:r>
          </w:p>
        </w:tc>
        <w:tc>
          <w:tcPr>
            <w:tcW w:type="dxa" w:w="3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/>
                <w:b w:val="0"/>
                <w:color w:val="0F172A"/>
                <w:sz w:val="17"/>
              </w:rPr>
              <w:t>Repeat paper-only scope near risky-feeling actions.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/>
                <w:b w:val="0"/>
                <w:color w:val="0F172A"/>
                <w:sz w:val="17"/>
              </w:rPr>
              <w:t>Onboarding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/>
                <w:b w:val="0"/>
                <w:color w:val="0F172A"/>
                <w:sz w:val="17"/>
              </w:rPr>
              <w:t>3.5/5</w:t>
            </w:r>
          </w:p>
        </w:tc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/>
                <w:b w:val="0"/>
                <w:color w:val="0F172A"/>
                <w:sz w:val="17"/>
              </w:rPr>
              <w:t>Risk profile, strategy choice, backtest, and acceptance create a coherent setup path.</w:t>
            </w:r>
          </w:p>
        </w:tc>
        <w:tc>
          <w:tcPr>
            <w:tcW w:type="dxa" w:w="3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/>
                <w:b w:val="0"/>
                <w:color w:val="0F172A"/>
                <w:sz w:val="17"/>
              </w:rPr>
              <w:t>Explain what the backtest does and does not prove.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/>
                <w:b w:val="0"/>
                <w:color w:val="0F172A"/>
                <w:sz w:val="17"/>
              </w:rPr>
              <w:t>Settings safety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/>
                <w:b w:val="0"/>
                <w:color w:val="0F172A"/>
                <w:sz w:val="17"/>
              </w:rPr>
              <w:t>4.5/5</w:t>
            </w:r>
          </w:p>
        </w:tc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/>
                <w:b w:val="0"/>
                <w:color w:val="0F172A"/>
                <w:sz w:val="17"/>
              </w:rPr>
              <w:t>Active-agent settings lock is strong and consistent with fail-closed safety.</w:t>
            </w:r>
          </w:p>
        </w:tc>
        <w:tc>
          <w:tcPr>
            <w:tcW w:type="dxa" w:w="3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/>
                <w:b w:val="0"/>
                <w:color w:val="0F172A"/>
                <w:sz w:val="17"/>
              </w:rPr>
              <w:t>Keep backend as source of truth; add user-friendly reason copy.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/>
                <w:b w:val="0"/>
                <w:color w:val="0F172A"/>
                <w:sz w:val="17"/>
              </w:rPr>
              <w:t>Dashboard observability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/>
                <w:b w:val="0"/>
                <w:color w:val="0F172A"/>
                <w:sz w:val="17"/>
              </w:rPr>
              <w:t>3/5</w:t>
            </w:r>
          </w:p>
        </w:tc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/>
                <w:b w:val="0"/>
                <w:color w:val="0F172A"/>
                <w:sz w:val="17"/>
              </w:rPr>
              <w:t>Dashboard categories are right, but freshness and health state are not prominent enough.</w:t>
            </w:r>
          </w:p>
        </w:tc>
        <w:tc>
          <w:tcPr>
            <w:tcW w:type="dxa" w:w="3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/>
                <w:b w:val="0"/>
                <w:color w:val="0F172A"/>
                <w:sz w:val="17"/>
              </w:rPr>
              <w:t>Add latest bar date, last snapshot, heartbeat, and stream state.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/>
                <w:b w:val="0"/>
                <w:color w:val="0F172A"/>
                <w:sz w:val="17"/>
              </w:rPr>
              <w:t>Strategy evidence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/>
                <w:b w:val="0"/>
                <w:color w:val="0F172A"/>
                <w:sz w:val="17"/>
              </w:rPr>
              <w:t>2.5/5</w:t>
            </w:r>
          </w:p>
        </w:tc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/>
                <w:b w:val="0"/>
                <w:color w:val="0F172A"/>
                <w:sz w:val="17"/>
              </w:rPr>
              <w:t>Validation evidence is mostly in docs/reports instead of user-facing cards.</w:t>
            </w:r>
          </w:p>
        </w:tc>
        <w:tc>
          <w:tcPr>
            <w:tcW w:type="dxa" w:w="3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/>
                <w:b w:val="0"/>
                <w:color w:val="0F172A"/>
                <w:sz w:val="17"/>
              </w:rPr>
              <w:t>Add evidence drawer with DSR, PBO, benchmark, OOS trades, costs, and report path.</w:t>
            </w:r>
          </w:p>
        </w:tc>
      </w:tr>
    </w:tbl>
    <w:p>
      <w:pPr>
        <w:pStyle w:val="Heading2"/>
      </w:pPr>
      <w:r>
        <w:t>4.2 Cognitive Walkthrough / Heuristic Evaluation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type="dxa" w:w="120"/>
      </w:tblPr>
      <w:tblGrid>
        <w:gridCol w:w="2000"/>
        <w:gridCol w:w="900"/>
        <w:gridCol w:w="3200"/>
        <w:gridCol w:w="3260"/>
      </w:tblGrid>
      <w:tr>
        <w:trPr>
          <w:tblHeader w:val="true"/>
          <w:cantSplit/>
        </w:trPr>
        <w:tc>
          <w:tcPr>
            <w:tcW w:type="dxa" w:w="20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  <w:jc w:val="center"/>
            </w:pPr>
            <w:r>
              <w:rPr>
                <w:rFonts w:ascii="Calibri" w:hAnsi="Calibri"/>
                <w:b/>
                <w:color w:val="0F172A"/>
                <w:sz w:val="17"/>
              </w:rPr>
              <w:t>Task / heuristic</w:t>
            </w:r>
          </w:p>
        </w:tc>
        <w:tc>
          <w:tcPr>
            <w:tcW w:type="dxa" w:w="9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  <w:jc w:val="center"/>
            </w:pPr>
            <w:r>
              <w:rPr>
                <w:rFonts w:ascii="Calibri" w:hAnsi="Calibri"/>
                <w:b/>
                <w:color w:val="0F172A"/>
                <w:sz w:val="17"/>
              </w:rPr>
              <w:t>Rating</w:t>
            </w:r>
          </w:p>
        </w:tc>
        <w:tc>
          <w:tcPr>
            <w:tcW w:type="dxa" w:w="32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  <w:jc w:val="center"/>
            </w:pPr>
            <w:r>
              <w:rPr>
                <w:rFonts w:ascii="Calibri" w:hAnsi="Calibri"/>
                <w:b/>
                <w:color w:val="0F172A"/>
                <w:sz w:val="17"/>
              </w:rPr>
              <w:t>Analysis</w:t>
            </w:r>
          </w:p>
        </w:tc>
        <w:tc>
          <w:tcPr>
            <w:tcW w:type="dxa" w:w="326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  <w:jc w:val="center"/>
            </w:pPr>
            <w:r>
              <w:rPr>
                <w:rFonts w:ascii="Calibri" w:hAnsi="Calibri"/>
                <w:b/>
                <w:color w:val="0F172A"/>
                <w:sz w:val="17"/>
              </w:rPr>
              <w:t>Suggested improvement</w:t>
            </w:r>
          </w:p>
        </w:tc>
      </w:tr>
      <w:tr>
        <w:trPr>
          <w:cantSplit/>
        </w:trPr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/>
                <w:b w:val="0"/>
                <w:color w:val="0F172A"/>
                <w:sz w:val="17"/>
              </w:rPr>
              <w:t>Onboarding completion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/>
                <w:b w:val="0"/>
                <w:color w:val="0F172A"/>
                <w:sz w:val="17"/>
              </w:rPr>
              <w:t>3.5/5</w:t>
            </w:r>
          </w:p>
        </w:tc>
        <w:tc>
          <w:tcPr>
            <w:tcW w:type="dxa" w:w="3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/>
                <w:b w:val="0"/>
                <w:color w:val="0F172A"/>
                <w:sz w:val="17"/>
              </w:rPr>
              <w:t>Users can select a risk profile, choose a matching strategy, run a backtest, and accept it.</w:t>
            </w:r>
          </w:p>
        </w:tc>
        <w:tc>
          <w:tcPr>
            <w:tcW w:type="dxa" w:w="3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/>
                <w:b w:val="0"/>
                <w:color w:val="0F172A"/>
                <w:sz w:val="17"/>
              </w:rPr>
              <w:t>Add beginner explanations for risk, Sharpe, Max DD, and historical simulation limits.</w:t>
            </w:r>
          </w:p>
        </w:tc>
      </w:tr>
      <w:tr>
        <w:trPr>
          <w:cantSplit/>
        </w:trPr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/>
                <w:b w:val="0"/>
                <w:color w:val="0F172A"/>
                <w:sz w:val="17"/>
              </w:rPr>
              <w:t>Agent launch / terminate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/>
                <w:b w:val="0"/>
                <w:color w:val="0F172A"/>
                <w:sz w:val="17"/>
              </w:rPr>
              <w:t>4/5</w:t>
            </w:r>
          </w:p>
        </w:tc>
        <w:tc>
          <w:tcPr>
            <w:tcW w:type="dxa" w:w="3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/>
                <w:b w:val="0"/>
                <w:color w:val="0F172A"/>
                <w:sz w:val="17"/>
              </w:rPr>
              <w:t>The main action is understandable and the lifecycle model is clear.</w:t>
            </w:r>
          </w:p>
        </w:tc>
        <w:tc>
          <w:tcPr>
            <w:tcW w:type="dxa" w:w="3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/>
                <w:b w:val="0"/>
                <w:color w:val="0F172A"/>
                <w:sz w:val="17"/>
              </w:rPr>
              <w:t>Add paper-only badges beside Launch Agent and portfolio value.</w:t>
            </w:r>
          </w:p>
        </w:tc>
      </w:tr>
      <w:tr>
        <w:trPr>
          <w:cantSplit/>
        </w:trPr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/>
                <w:b w:val="0"/>
                <w:color w:val="0F172A"/>
                <w:sz w:val="17"/>
              </w:rPr>
              <w:t>Settings while active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/>
                <w:b w:val="0"/>
                <w:color w:val="0F172A"/>
                <w:sz w:val="17"/>
              </w:rPr>
              <w:t>4.5/5</w:t>
            </w:r>
          </w:p>
        </w:tc>
        <w:tc>
          <w:tcPr>
            <w:tcW w:type="dxa" w:w="3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/>
                <w:b w:val="0"/>
                <w:color w:val="0F172A"/>
                <w:sz w:val="17"/>
              </w:rPr>
              <w:t>Settings are locked while a portfolio agent is running, preventing confusing mid-run changes.</w:t>
            </w:r>
          </w:p>
        </w:tc>
        <w:tc>
          <w:tcPr>
            <w:tcW w:type="dxa" w:w="3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/>
                <w:b w:val="0"/>
                <w:color w:val="0F172A"/>
                <w:sz w:val="17"/>
              </w:rPr>
              <w:t>Keep controls disabled and add concise reason text.</w:t>
            </w:r>
          </w:p>
        </w:tc>
      </w:tr>
      <w:tr>
        <w:trPr>
          <w:cantSplit/>
        </w:trPr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/>
                <w:b w:val="0"/>
                <w:color w:val="0F172A"/>
                <w:sz w:val="17"/>
              </w:rPr>
              <w:t>Evidence discovery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/>
                <w:b w:val="0"/>
                <w:color w:val="0F172A"/>
                <w:sz w:val="17"/>
              </w:rPr>
              <w:t>2/5</w:t>
            </w:r>
          </w:p>
        </w:tc>
        <w:tc>
          <w:tcPr>
            <w:tcW w:type="dxa" w:w="3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/>
                <w:b w:val="0"/>
                <w:color w:val="0F172A"/>
                <w:sz w:val="17"/>
              </w:rPr>
              <w:t>Users must leave the product to verify promotion artifacts and report lineage.</w:t>
            </w:r>
          </w:p>
        </w:tc>
        <w:tc>
          <w:tcPr>
            <w:tcW w:type="dxa" w:w="3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/>
                <w:b w:val="0"/>
                <w:color w:val="0F172A"/>
                <w:sz w:val="17"/>
              </w:rPr>
              <w:t>Add report links and validation metadata directly to strategy cards.</w:t>
            </w:r>
          </w:p>
        </w:tc>
      </w:tr>
      <w:tr>
        <w:trPr>
          <w:cantSplit/>
        </w:trPr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/>
                <w:b w:val="0"/>
                <w:color w:val="0F172A"/>
                <w:sz w:val="17"/>
              </w:rPr>
              <w:t>Dashboard status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/>
                <w:b w:val="0"/>
                <w:color w:val="0F172A"/>
                <w:sz w:val="17"/>
              </w:rPr>
              <w:t>3/5</w:t>
            </w:r>
          </w:p>
        </w:tc>
        <w:tc>
          <w:tcPr>
            <w:tcW w:type="dxa" w:w="3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/>
                <w:b w:val="0"/>
                <w:color w:val="0F172A"/>
                <w:sz w:val="17"/>
              </w:rPr>
              <w:t>The dashboard shows portfolio categories but not enough stale/error/last-updated state.</w:t>
            </w:r>
          </w:p>
        </w:tc>
        <w:tc>
          <w:tcPr>
            <w:tcW w:type="dxa" w:w="3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/>
                <w:b w:val="0"/>
                <w:color w:val="0F172A"/>
                <w:sz w:val="17"/>
              </w:rPr>
              <w:t>Add freshness, active run ID, heartbeat, and stream status.</w:t>
            </w:r>
          </w:p>
        </w:tc>
      </w:tr>
      <w:tr>
        <w:trPr>
          <w:cantSplit/>
        </w:trPr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/>
                <w:b w:val="0"/>
                <w:color w:val="0F172A"/>
                <w:sz w:val="17"/>
              </w:rPr>
              <w:t>Copy clarity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/>
                <w:b w:val="0"/>
                <w:color w:val="0F172A"/>
                <w:sz w:val="17"/>
              </w:rPr>
              <w:t>3/5</w:t>
            </w:r>
          </w:p>
        </w:tc>
        <w:tc>
          <w:tcPr>
            <w:tcW w:type="dxa" w:w="3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/>
                <w:b w:val="0"/>
                <w:color w:val="0F172A"/>
                <w:sz w:val="17"/>
              </w:rPr>
              <w:t>Some labels are polished but less direct than users need.</w:t>
            </w:r>
          </w:p>
        </w:tc>
        <w:tc>
          <w:tcPr>
            <w:tcW w:type="dxa" w:w="3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/>
                <w:b w:val="0"/>
                <w:color w:val="0F172A"/>
                <w:sz w:val="17"/>
              </w:rPr>
              <w:t>Use plain labels such as Save settings, Saving, Settings locked, and Run backtest.</w:t>
            </w:r>
          </w:p>
        </w:tc>
      </w:tr>
    </w:tbl>
    <w:p>
      <w:r>
        <w:br w:type="page"/>
      </w:r>
    </w:p>
    <w:p>
      <w:pPr>
        <w:pStyle w:val="Heading1"/>
      </w:pPr>
      <w:r>
        <w:t>5. Simulated User / Persona Testing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type="dxa" w:w="120"/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EF2F2"/>
          </w:tcPr>
          <w:p>
            <w:pPr>
              <w:spacing w:after="60"/>
            </w:pPr>
            <w:r>
              <w:rPr>
                <w:rFonts w:ascii="Calibri" w:hAnsi="Calibri"/>
                <w:b/>
                <w:color w:val="0F172A"/>
                <w:sz w:val="21"/>
              </w:rPr>
              <w:t>Evidence boundary</w:t>
            </w:r>
          </w:p>
          <w:p>
            <w:pPr>
              <w:spacing w:after="0" w:line="264" w:lineRule="auto"/>
            </w:pPr>
            <w:r>
              <w:rPr>
                <w:rFonts w:ascii="Calibri" w:hAnsi="Calibri"/>
                <w:color w:val="0F172A"/>
                <w:sz w:val="21"/>
              </w:rPr>
              <w:t>The table below represents simulated proxy personas, not actual users. It is useful for planning product improvements and future research, but it should not be labelled as real user testing.</w:t>
            </w:r>
          </w:p>
        </w:tc>
      </w:tr>
    </w:tbl>
    <w:p>
      <w:pPr>
        <w:spacing w:after="40"/>
      </w:pPr>
    </w:p>
    <w:p>
      <w:pPr>
        <w:spacing w:before="0" w:after="80" w:line="264" w:lineRule="auto"/>
      </w:pPr>
      <w:r>
        <w:rPr>
          <w:rFonts w:ascii="Calibri" w:hAnsi="Calibri"/>
          <w:color w:val="0F172A"/>
          <w:sz w:val="22"/>
        </w:rPr>
        <w:t>Ratings below are overall averages across ease, confidence, and transparency signals.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type="dxa" w:w="120"/>
      </w:tblPr>
      <w:tblGrid>
        <w:gridCol w:w="1500"/>
        <w:gridCol w:w="1550"/>
        <w:gridCol w:w="950"/>
        <w:gridCol w:w="2800"/>
        <w:gridCol w:w="2560"/>
      </w:tblGrid>
      <w:tr>
        <w:trPr>
          <w:tblHeader w:val="true"/>
          <w:cantSplit/>
        </w:trPr>
        <w:tc>
          <w:tcPr>
            <w:tcW w:type="dxa" w:w="15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  <w:jc w:val="center"/>
            </w:pPr>
            <w:r>
              <w:rPr>
                <w:rFonts w:ascii="Calibri" w:hAnsi="Calibri"/>
                <w:b/>
                <w:color w:val="0F172A"/>
                <w:sz w:val="15"/>
              </w:rPr>
              <w:t>User / persona</w:t>
            </w:r>
          </w:p>
        </w:tc>
        <w:tc>
          <w:tcPr>
            <w:tcW w:type="dxa" w:w="155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  <w:jc w:val="center"/>
            </w:pPr>
            <w:r>
              <w:rPr>
                <w:rFonts w:ascii="Calibri" w:hAnsi="Calibri"/>
                <w:b/>
                <w:color w:val="0F172A"/>
                <w:sz w:val="15"/>
              </w:rPr>
              <w:t>Feature tested</w:t>
            </w:r>
          </w:p>
        </w:tc>
        <w:tc>
          <w:tcPr>
            <w:tcW w:type="dxa" w:w="95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  <w:jc w:val="center"/>
            </w:pPr>
            <w:r>
              <w:rPr>
                <w:rFonts w:ascii="Calibri" w:hAnsi="Calibri"/>
                <w:b/>
                <w:color w:val="0F172A"/>
                <w:sz w:val="15"/>
              </w:rPr>
              <w:t>How they felt</w:t>
            </w:r>
          </w:p>
        </w:tc>
        <w:tc>
          <w:tcPr>
            <w:tcW w:type="dxa" w:w="28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  <w:jc w:val="center"/>
            </w:pPr>
            <w:r>
              <w:rPr>
                <w:rFonts w:ascii="Calibri" w:hAnsi="Calibri"/>
                <w:b/>
                <w:color w:val="0F172A"/>
                <w:sz w:val="15"/>
              </w:rPr>
              <w:t>Analysis</w:t>
            </w:r>
          </w:p>
        </w:tc>
        <w:tc>
          <w:tcPr>
            <w:tcW w:type="dxa" w:w="25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  <w:jc w:val="center"/>
            </w:pPr>
            <w:r>
              <w:rPr>
                <w:rFonts w:ascii="Calibri" w:hAnsi="Calibri"/>
                <w:b/>
                <w:color w:val="0F172A"/>
                <w:sz w:val="15"/>
              </w:rPr>
              <w:t>Suggestions for improvement</w:t>
            </w:r>
          </w:p>
        </w:tc>
      </w:tr>
      <w:tr>
        <w:trPr>
          <w:cantSplit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/>
                <w:b w:val="0"/>
                <w:color w:val="0F172A"/>
                <w:sz w:val="15"/>
              </w:rPr>
              <w:t>Beginner paper trader</w:t>
            </w:r>
          </w:p>
        </w:tc>
        <w:tc>
          <w:tcPr>
            <w:tcW w:type="dxa" w:w="1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/>
                <w:b w:val="0"/>
                <w:color w:val="0F172A"/>
                <w:sz w:val="15"/>
              </w:rPr>
              <w:t>Onboarding, dashboard, launch</w:t>
            </w:r>
          </w:p>
        </w:tc>
        <w:tc>
          <w:tcPr>
            <w:tcW w:type="dxa" w:w="9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/>
                <w:b w:val="0"/>
                <w:color w:val="0F172A"/>
                <w:sz w:val="15"/>
              </w:rPr>
              <w:t>3.3/5</w:t>
            </w:r>
          </w:p>
        </w:tc>
        <w:tc>
          <w:tcPr>
            <w:tcW w:type="dxa" w:w="2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/>
                <w:b w:val="0"/>
                <w:color w:val="0F172A"/>
                <w:sz w:val="15"/>
              </w:rPr>
              <w:t>Could complete onboarding and launch a paper agent, but was unsure about Sharpe, Max DD, h63, LGBM, and demo/live distinction.</w:t>
            </w:r>
          </w:p>
        </w:tc>
        <w:tc>
          <w:tcPr>
            <w:tcW w:type="dxa" w:w="2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/>
                <w:b w:val="0"/>
                <w:color w:val="0F172A"/>
                <w:sz w:val="15"/>
              </w:rPr>
              <w:t>Add tooltips and visible Paper only / no brokerage orders labels.</w:t>
            </w:r>
          </w:p>
        </w:tc>
      </w:tr>
      <w:tr>
        <w:trPr>
          <w:cantSplit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/>
                <w:b w:val="0"/>
                <w:color w:val="0F172A"/>
                <w:sz w:val="15"/>
              </w:rPr>
              <w:t>Risk-aware retail investor</w:t>
            </w:r>
          </w:p>
        </w:tc>
        <w:tc>
          <w:tcPr>
            <w:tcW w:type="dxa" w:w="1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/>
                <w:b w:val="0"/>
                <w:color w:val="0F172A"/>
                <w:sz w:val="15"/>
              </w:rPr>
              <w:t>Strategy proof, trades, settings</w:t>
            </w:r>
          </w:p>
        </w:tc>
        <w:tc>
          <w:tcPr>
            <w:tcW w:type="dxa" w:w="9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/>
                <w:b w:val="0"/>
                <w:color w:val="0F172A"/>
                <w:sz w:val="15"/>
              </w:rPr>
              <w:t>2.7/5</w:t>
            </w:r>
          </w:p>
        </w:tc>
        <w:tc>
          <w:tcPr>
            <w:tcW w:type="dxa" w:w="2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/>
                <w:b w:val="0"/>
                <w:color w:val="0F172A"/>
                <w:sz w:val="15"/>
              </w:rPr>
              <w:t>Liked safety boundaries but could not fully verify strategy quality from the UI.</w:t>
            </w:r>
          </w:p>
        </w:tc>
        <w:tc>
          <w:tcPr>
            <w:tcW w:type="dxa" w:w="2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/>
                <w:b w:val="0"/>
                <w:color w:val="0F172A"/>
                <w:sz w:val="15"/>
              </w:rPr>
              <w:t>Add evidence-aware strategy cards and trade audit drawers.</w:t>
            </w:r>
          </w:p>
        </w:tc>
      </w:tr>
      <w:tr>
        <w:trPr>
          <w:cantSplit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/>
                <w:b w:val="0"/>
                <w:color w:val="0F172A"/>
                <w:sz w:val="15"/>
              </w:rPr>
              <w:t>Quant hobbyist</w:t>
            </w:r>
          </w:p>
        </w:tc>
        <w:tc>
          <w:tcPr>
            <w:tcW w:type="dxa" w:w="1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/>
                <w:b w:val="0"/>
                <w:color w:val="0F172A"/>
                <w:sz w:val="15"/>
              </w:rPr>
              <w:t>Backtest evidence, catalog proof</w:t>
            </w:r>
          </w:p>
        </w:tc>
        <w:tc>
          <w:tcPr>
            <w:tcW w:type="dxa" w:w="9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/>
                <w:b w:val="0"/>
                <w:color w:val="0F172A"/>
                <w:sz w:val="15"/>
              </w:rPr>
              <w:t>3.0/5</w:t>
            </w:r>
          </w:p>
        </w:tc>
        <w:tc>
          <w:tcPr>
            <w:tcW w:type="dxa" w:w="2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/>
                <w:b w:val="0"/>
                <w:color w:val="0F172A"/>
                <w:sz w:val="15"/>
              </w:rPr>
              <w:t>Understood the workflow but wanted DSR, PBO, costs, benchmarks, and report links.</w:t>
            </w:r>
          </w:p>
        </w:tc>
        <w:tc>
          <w:tcPr>
            <w:tcW w:type="dxa" w:w="2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/>
                <w:b w:val="0"/>
                <w:color w:val="0F172A"/>
                <w:sz w:val="15"/>
              </w:rPr>
              <w:t>Show Promote, DSR, PBO, benchmark, OOS trades, costs, and report path.</w:t>
            </w:r>
          </w:p>
        </w:tc>
      </w:tr>
      <w:tr>
        <w:trPr>
          <w:cantSplit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/>
                <w:b w:val="0"/>
                <w:color w:val="0F172A"/>
                <w:sz w:val="15"/>
              </w:rPr>
              <w:t>Skeptical product manager</w:t>
            </w:r>
          </w:p>
        </w:tc>
        <w:tc>
          <w:tcPr>
            <w:tcW w:type="dxa" w:w="1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/>
                <w:b w:val="0"/>
                <w:color w:val="0F172A"/>
                <w:sz w:val="15"/>
              </w:rPr>
              <w:t>Onboarding narrative, proof</w:t>
            </w:r>
          </w:p>
        </w:tc>
        <w:tc>
          <w:tcPr>
            <w:tcW w:type="dxa" w:w="9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/>
                <w:b w:val="0"/>
                <w:color w:val="0F172A"/>
                <w:sz w:val="15"/>
              </w:rPr>
              <w:t>3.0/5</w:t>
            </w:r>
          </w:p>
        </w:tc>
        <w:tc>
          <w:tcPr>
            <w:tcW w:type="dxa" w:w="2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/>
                <w:b w:val="0"/>
                <w:color w:val="0F172A"/>
                <w:sz w:val="15"/>
              </w:rPr>
              <w:t>Saw a coherent product story but felt proof was mostly in docs rather than screens.</w:t>
            </w:r>
          </w:p>
        </w:tc>
        <w:tc>
          <w:tcPr>
            <w:tcW w:type="dxa" w:w="2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/>
                <w:b w:val="0"/>
                <w:color w:val="0F172A"/>
                <w:sz w:val="15"/>
              </w:rPr>
              <w:t>Add a plain-language proof panel after onboarding and on the dashboard.</w:t>
            </w:r>
          </w:p>
        </w:tc>
      </w:tr>
      <w:tr>
        <w:trPr>
          <w:cantSplit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/>
                <w:b w:val="0"/>
                <w:color w:val="0F172A"/>
                <w:sz w:val="15"/>
              </w:rPr>
              <w:t>Reliability-focused engineer</w:t>
            </w:r>
          </w:p>
        </w:tc>
        <w:tc>
          <w:tcPr>
            <w:tcW w:type="dxa" w:w="1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/>
                <w:b w:val="0"/>
                <w:color w:val="0F172A"/>
                <w:sz w:val="15"/>
              </w:rPr>
              <w:t>Lifecycle, health, failure state</w:t>
            </w:r>
          </w:p>
        </w:tc>
        <w:tc>
          <w:tcPr>
            <w:tcW w:type="dxa" w:w="9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/>
                <w:b w:val="0"/>
                <w:color w:val="0F172A"/>
                <w:sz w:val="15"/>
              </w:rPr>
              <w:t>3.3/5</w:t>
            </w:r>
          </w:p>
        </w:tc>
        <w:tc>
          <w:tcPr>
            <w:tcW w:type="dxa" w:w="2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/>
                <w:b w:val="0"/>
                <w:color w:val="0F172A"/>
                <w:sz w:val="15"/>
              </w:rPr>
              <w:t>Trusted the settings lock, but wanted more operational diagnostics.</w:t>
            </w:r>
          </w:p>
        </w:tc>
        <w:tc>
          <w:tcPr>
            <w:tcW w:type="dxa" w:w="2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/>
                <w:b w:val="0"/>
                <w:color w:val="0F172A"/>
                <w:sz w:val="15"/>
              </w:rPr>
              <w:t>Add last refresh, active run ID, heartbeat, stream state, and failure reason.</w:t>
            </w:r>
          </w:p>
        </w:tc>
      </w:tr>
      <w:tr>
        <w:trPr>
          <w:cantSplit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/>
                <w:b w:val="0"/>
                <w:color w:val="0F172A"/>
                <w:sz w:val="15"/>
              </w:rPr>
              <w:t>Finance student</w:t>
            </w:r>
          </w:p>
        </w:tc>
        <w:tc>
          <w:tcPr>
            <w:tcW w:type="dxa" w:w="1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/>
                <w:b w:val="0"/>
                <w:color w:val="0F172A"/>
                <w:sz w:val="15"/>
              </w:rPr>
              <w:t>Learning, backtest interpretation</w:t>
            </w:r>
          </w:p>
        </w:tc>
        <w:tc>
          <w:tcPr>
            <w:tcW w:type="dxa" w:w="9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/>
                <w:b w:val="0"/>
                <w:color w:val="0F172A"/>
                <w:sz w:val="15"/>
              </w:rPr>
              <w:t>3.0/5</w:t>
            </w:r>
          </w:p>
        </w:tc>
        <w:tc>
          <w:tcPr>
            <w:tcW w:type="dxa" w:w="2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/>
                <w:b w:val="0"/>
                <w:color w:val="0F172A"/>
                <w:sz w:val="15"/>
              </w:rPr>
              <w:t>Found onboarding approachable but might read Accept Backtest as this strategy is good.</w:t>
            </w:r>
          </w:p>
        </w:tc>
        <w:tc>
          <w:tcPr>
            <w:tcW w:type="dxa" w:w="2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/>
                <w:b w:val="0"/>
                <w:color w:val="0F172A"/>
                <w:sz w:val="15"/>
              </w:rPr>
              <w:t>Change acceptance copy to acknowledge historical paper simulation limits.</w:t>
            </w:r>
          </w:p>
        </w:tc>
      </w:tr>
      <w:tr>
        <w:trPr>
          <w:cantSplit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/>
                <w:b w:val="0"/>
                <w:color w:val="0F172A"/>
                <w:sz w:val="15"/>
              </w:rPr>
              <w:t>Compliance-minded reviewer</w:t>
            </w:r>
          </w:p>
        </w:tc>
        <w:tc>
          <w:tcPr>
            <w:tcW w:type="dxa" w:w="1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/>
                <w:b w:val="0"/>
                <w:color w:val="0F172A"/>
                <w:sz w:val="15"/>
              </w:rPr>
              <w:t>Claims, disclaimers, audit trail</w:t>
            </w:r>
          </w:p>
        </w:tc>
        <w:tc>
          <w:tcPr>
            <w:tcW w:type="dxa" w:w="9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/>
                <w:b w:val="0"/>
                <w:color w:val="0F172A"/>
                <w:sz w:val="15"/>
              </w:rPr>
              <w:t>2.5/5</w:t>
            </w:r>
          </w:p>
        </w:tc>
        <w:tc>
          <w:tcPr>
            <w:tcW w:type="dxa" w:w="2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/>
                <w:b w:val="0"/>
                <w:color w:val="0F172A"/>
                <w:sz w:val="15"/>
              </w:rPr>
              <w:t>Wanted claims to match artifact-backed evidence and paper-only limits.</w:t>
            </w:r>
          </w:p>
        </w:tc>
        <w:tc>
          <w:tcPr>
            <w:tcW w:type="dxa" w:w="2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/>
                <w:b w:val="0"/>
                <w:color w:val="0F172A"/>
                <w:sz w:val="15"/>
              </w:rPr>
              <w:t>Add compliance-safe no-advice, no-live-order, and artifact lineage labels.</w:t>
            </w:r>
          </w:p>
        </w:tc>
      </w:tr>
      <w:tr>
        <w:trPr>
          <w:cantSplit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/>
                <w:b w:val="0"/>
                <w:color w:val="0F172A"/>
                <w:sz w:val="15"/>
              </w:rPr>
              <w:t>Active trader / power user</w:t>
            </w:r>
          </w:p>
        </w:tc>
        <w:tc>
          <w:tcPr>
            <w:tcW w:type="dxa" w:w="1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/>
                <w:b w:val="0"/>
                <w:color w:val="0F172A"/>
                <w:sz w:val="15"/>
              </w:rPr>
              <w:t>Trade activity, exports, drilldowns</w:t>
            </w:r>
          </w:p>
        </w:tc>
        <w:tc>
          <w:tcPr>
            <w:tcW w:type="dxa" w:w="9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/>
                <w:b w:val="0"/>
                <w:color w:val="0F172A"/>
                <w:sz w:val="15"/>
              </w:rPr>
              <w:t>2.8/5</w:t>
            </w:r>
          </w:p>
        </w:tc>
        <w:tc>
          <w:tcPr>
            <w:tcW w:type="dxa" w:w="2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/>
                <w:b w:val="0"/>
                <w:color w:val="0F172A"/>
                <w:sz w:val="15"/>
              </w:rPr>
              <w:t>Wanted faster inspection of trades, alerts, and allocation changes.</w:t>
            </w:r>
          </w:p>
        </w:tc>
        <w:tc>
          <w:tcPr>
            <w:tcW w:type="dxa" w:w="2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/>
                <w:b w:val="0"/>
                <w:color w:val="0F172A"/>
                <w:sz w:val="15"/>
              </w:rPr>
              <w:t>Add trade detail drawer with target weight, previous/current position, fill price, timestamp, and related alert.</w:t>
            </w:r>
          </w:p>
        </w:tc>
      </w:tr>
      <w:tr>
        <w:trPr>
          <w:cantSplit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/>
                <w:b w:val="0"/>
                <w:color w:val="0F172A"/>
                <w:sz w:val="15"/>
              </w:rPr>
              <w:t>Cautious nontechnical saver</w:t>
            </w:r>
          </w:p>
        </w:tc>
        <w:tc>
          <w:tcPr>
            <w:tcW w:type="dxa" w:w="1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/>
                <w:b w:val="0"/>
                <w:color w:val="0F172A"/>
                <w:sz w:val="15"/>
              </w:rPr>
              <w:t>Safety, plain language</w:t>
            </w:r>
          </w:p>
        </w:tc>
        <w:tc>
          <w:tcPr>
            <w:tcW w:type="dxa" w:w="9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/>
                <w:b w:val="0"/>
                <w:color w:val="0F172A"/>
                <w:sz w:val="15"/>
              </w:rPr>
              <w:t>2.7/5</w:t>
            </w:r>
          </w:p>
        </w:tc>
        <w:tc>
          <w:tcPr>
            <w:tcW w:type="dxa" w:w="2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/>
                <w:b w:val="0"/>
                <w:color w:val="0F172A"/>
                <w:sz w:val="15"/>
              </w:rPr>
              <w:t>Liked guardrails but felt the product was technical and could over-trust the backtest.</w:t>
            </w:r>
          </w:p>
        </w:tc>
        <w:tc>
          <w:tcPr>
            <w:tcW w:type="dxa" w:w="2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/>
                <w:b w:val="0"/>
                <w:color w:val="0F172A"/>
                <w:sz w:val="15"/>
              </w:rPr>
              <w:t>Add plain-language safety mode and clearer empty/demo states.</w:t>
            </w:r>
          </w:p>
        </w:tc>
      </w:tr>
      <w:tr>
        <w:trPr>
          <w:cantSplit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/>
                <w:b w:val="0"/>
                <w:color w:val="0F172A"/>
                <w:sz w:val="15"/>
              </w:rPr>
              <w:t>Privacy-conscious evaluator</w:t>
            </w:r>
          </w:p>
        </w:tc>
        <w:tc>
          <w:tcPr>
            <w:tcW w:type="dxa" w:w="1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/>
                <w:b w:val="0"/>
                <w:color w:val="0F172A"/>
                <w:sz w:val="15"/>
              </w:rPr>
              <w:t>Seeded demo, reproducibility</w:t>
            </w:r>
          </w:p>
        </w:tc>
        <w:tc>
          <w:tcPr>
            <w:tcW w:type="dxa" w:w="9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/>
                <w:b w:val="0"/>
                <w:color w:val="0F172A"/>
                <w:sz w:val="15"/>
              </w:rPr>
              <w:t>3.0/5</w:t>
            </w:r>
          </w:p>
        </w:tc>
        <w:tc>
          <w:tcPr>
            <w:tcW w:type="dxa" w:w="2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/>
                <w:b w:val="0"/>
                <w:color w:val="0F172A"/>
                <w:sz w:val="15"/>
              </w:rPr>
              <w:t>Wanted to review without exposing personal financial data.</w:t>
            </w:r>
          </w:p>
        </w:tc>
        <w:tc>
          <w:tcPr>
            <w:tcW w:type="dxa" w:w="2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/>
                <w:b w:val="0"/>
                <w:color w:val="0F172A"/>
                <w:sz w:val="15"/>
              </w:rPr>
              <w:t>Create deterministic demo script with seeded users and paper-only portfolios.</w:t>
            </w:r>
          </w:p>
        </w:tc>
      </w:tr>
    </w:tbl>
    <w:p>
      <w:pPr>
        <w:pStyle w:val="Heading1"/>
      </w:pPr>
      <w:r>
        <w:t>6. Theme Counts And Product Interpretation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type="dxa" w:w="120"/>
      </w:tblPr>
      <w:tblGrid>
        <w:gridCol w:w="3300"/>
        <w:gridCol w:w="1200"/>
        <w:gridCol w:w="4860"/>
      </w:tblGrid>
      <w:tr>
        <w:trPr>
          <w:tblHeader w:val="true"/>
          <w:cantSplit/>
        </w:trPr>
        <w:tc>
          <w:tcPr>
            <w:tcW w:type="dxa" w:w="33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  <w:jc w:val="center"/>
            </w:pPr>
            <w:r>
              <w:rPr>
                <w:rFonts w:ascii="Calibri" w:hAnsi="Calibri"/>
                <w:b/>
                <w:color w:val="0F172A"/>
                <w:sz w:val="18"/>
              </w:rPr>
              <w:t>Theme</w:t>
            </w:r>
          </w:p>
        </w:tc>
        <w:tc>
          <w:tcPr>
            <w:tcW w:type="dxa" w:w="12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  <w:jc w:val="center"/>
            </w:pPr>
            <w:r>
              <w:rPr>
                <w:rFonts w:ascii="Calibri" w:hAnsi="Calibri"/>
                <w:b/>
                <w:color w:val="0F172A"/>
                <w:sz w:val="18"/>
              </w:rPr>
              <w:t>Proxy count</w:t>
            </w:r>
          </w:p>
        </w:tc>
        <w:tc>
          <w:tcPr>
            <w:tcW w:type="dxa" w:w="486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  <w:jc w:val="center"/>
            </w:pPr>
            <w:r>
              <w:rPr>
                <w:rFonts w:ascii="Calibri" w:hAnsi="Calibri"/>
                <w:b/>
                <w:color w:val="0F172A"/>
                <w:sz w:val="18"/>
              </w:rPr>
              <w:t>Product interpretation</w:t>
            </w:r>
          </w:p>
        </w:tc>
      </w:tr>
      <w:tr>
        <w:trPr>
          <w:cantSplit/>
        </w:trPr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/>
                <w:b w:val="0"/>
                <w:color w:val="0F172A"/>
                <w:sz w:val="18"/>
              </w:rPr>
              <w:t>Settings lock felt reassuring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/>
                <w:b w:val="0"/>
                <w:color w:val="0F172A"/>
                <w:sz w:val="18"/>
              </w:rPr>
              <w:t>10 / 10</w:t>
            </w:r>
          </w:p>
        </w:tc>
        <w:tc>
          <w:tcPr>
            <w:tcW w:type="dxa" w:w="4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/>
                <w:b w:val="0"/>
                <w:color w:val="0F172A"/>
                <w:sz w:val="18"/>
              </w:rPr>
              <w:t>Keep the active-agent safety guardrail as a core product proof point.</w:t>
            </w:r>
          </w:p>
        </w:tc>
      </w:tr>
      <w:tr>
        <w:trPr>
          <w:cantSplit/>
        </w:trPr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/>
                <w:b w:val="0"/>
                <w:color w:val="0F172A"/>
                <w:sz w:val="18"/>
              </w:rPr>
              <w:t>Clearer paper-only messaging needed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/>
                <w:b w:val="0"/>
                <w:color w:val="0F172A"/>
                <w:sz w:val="18"/>
              </w:rPr>
              <w:t>10 / 10</w:t>
            </w:r>
          </w:p>
        </w:tc>
        <w:tc>
          <w:tcPr>
            <w:tcW w:type="dxa" w:w="4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/>
                <w:b w:val="0"/>
                <w:color w:val="0F172A"/>
                <w:sz w:val="18"/>
              </w:rPr>
              <w:t>Repeat no-live-orders language near every risky-feeling action.</w:t>
            </w:r>
          </w:p>
        </w:tc>
      </w:tr>
      <w:tr>
        <w:trPr>
          <w:cantSplit/>
        </w:trPr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/>
                <w:b w:val="0"/>
                <w:color w:val="0F172A"/>
                <w:sz w:val="18"/>
              </w:rPr>
              <w:t>Validation evidence should be visible in UI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/>
                <w:b w:val="0"/>
                <w:color w:val="0F172A"/>
                <w:sz w:val="18"/>
              </w:rPr>
              <w:t>9 / 10</w:t>
            </w:r>
          </w:p>
        </w:tc>
        <w:tc>
          <w:tcPr>
            <w:tcW w:type="dxa" w:w="4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/>
                <w:b w:val="0"/>
                <w:color w:val="0F172A"/>
                <w:sz w:val="18"/>
              </w:rPr>
              <w:t>Expose strategy proof rather than requiring users to inspect repo reports.</w:t>
            </w:r>
          </w:p>
        </w:tc>
      </w:tr>
      <w:tr>
        <w:trPr>
          <w:cantSplit/>
        </w:trPr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/>
                <w:b w:val="0"/>
                <w:color w:val="0F172A"/>
                <w:sz w:val="18"/>
              </w:rPr>
              <w:t>Quant terms or strategy names unclear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/>
                <w:b w:val="0"/>
                <w:color w:val="0F172A"/>
                <w:sz w:val="18"/>
              </w:rPr>
              <w:t>8 / 10</w:t>
            </w:r>
          </w:p>
        </w:tc>
        <w:tc>
          <w:tcPr>
            <w:tcW w:type="dxa" w:w="4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/>
                <w:b w:val="0"/>
                <w:color w:val="0F172A"/>
                <w:sz w:val="18"/>
              </w:rPr>
              <w:t>Add tooltips and beginner-mode explanations.</w:t>
            </w:r>
          </w:p>
        </w:tc>
      </w:tr>
      <w:tr>
        <w:trPr>
          <w:cantSplit/>
        </w:trPr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/>
                <w:b w:val="0"/>
                <w:color w:val="0F172A"/>
                <w:sz w:val="18"/>
              </w:rPr>
              <w:t>Freshness or health indicators needed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/>
                <w:b w:val="0"/>
                <w:color w:val="0F172A"/>
                <w:sz w:val="18"/>
              </w:rPr>
              <w:t>7 / 10</w:t>
            </w:r>
          </w:p>
        </w:tc>
        <w:tc>
          <w:tcPr>
            <w:tcW w:type="dxa" w:w="4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/>
                <w:b w:val="0"/>
                <w:color w:val="0F172A"/>
                <w:sz w:val="18"/>
              </w:rPr>
              <w:t>Make backend freshness, stream status, latest bar date, and heartbeat visible.</w:t>
            </w:r>
          </w:p>
        </w:tc>
      </w:tr>
      <w:tr>
        <w:trPr>
          <w:cantSplit/>
        </w:trPr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/>
                <w:b w:val="0"/>
                <w:color w:val="0F172A"/>
                <w:sz w:val="18"/>
              </w:rPr>
              <w:t>Trade rationale drilldowns needed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/>
                <w:b w:val="0"/>
                <w:color w:val="0F172A"/>
                <w:sz w:val="18"/>
              </w:rPr>
              <w:t>6 / 10</w:t>
            </w:r>
          </w:p>
        </w:tc>
        <w:tc>
          <w:tcPr>
            <w:tcW w:type="dxa" w:w="4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/>
                <w:b w:val="0"/>
                <w:color w:val="0F172A"/>
                <w:sz w:val="18"/>
              </w:rPr>
              <w:t>Explain why a simulated trade happened and how allocation changed.</w:t>
            </w:r>
          </w:p>
        </w:tc>
      </w:tr>
    </w:tbl>
    <w:p>
      <w:pPr>
        <w:pStyle w:val="Heading1"/>
      </w:pPr>
      <w:r>
        <w:t>7. Recommended Improvements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type="dxa" w:w="120"/>
      </w:tblPr>
      <w:tblGrid>
        <w:gridCol w:w="850"/>
        <w:gridCol w:w="1650"/>
        <w:gridCol w:w="4050"/>
        <w:gridCol w:w="2810"/>
      </w:tblGrid>
      <w:tr>
        <w:trPr>
          <w:tblHeader w:val="true"/>
          <w:cantSplit/>
        </w:trPr>
        <w:tc>
          <w:tcPr>
            <w:tcW w:type="dxa" w:w="85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  <w:jc w:val="center"/>
            </w:pPr>
            <w:r>
              <w:rPr>
                <w:rFonts w:ascii="Calibri" w:hAnsi="Calibri"/>
                <w:b/>
                <w:color w:val="0F172A"/>
                <w:sz w:val="17"/>
              </w:rPr>
              <w:t>Priority</w:t>
            </w:r>
          </w:p>
        </w:tc>
        <w:tc>
          <w:tcPr>
            <w:tcW w:type="dxa" w:w="165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  <w:jc w:val="center"/>
            </w:pPr>
            <w:r>
              <w:rPr>
                <w:rFonts w:ascii="Calibri" w:hAnsi="Calibri"/>
                <w:b/>
                <w:color w:val="0F172A"/>
                <w:sz w:val="17"/>
              </w:rPr>
              <w:t>Area</w:t>
            </w:r>
          </w:p>
        </w:tc>
        <w:tc>
          <w:tcPr>
            <w:tcW w:type="dxa" w:w="405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  <w:jc w:val="center"/>
            </w:pPr>
            <w:r>
              <w:rPr>
                <w:rFonts w:ascii="Calibri" w:hAnsi="Calibri"/>
                <w:b/>
                <w:color w:val="0F172A"/>
                <w:sz w:val="17"/>
              </w:rPr>
              <w:t>Recommendation</w:t>
            </w:r>
          </w:p>
        </w:tc>
        <w:tc>
          <w:tcPr>
            <w:tcW w:type="dxa" w:w="281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  <w:jc w:val="center"/>
            </w:pPr>
            <w:r>
              <w:rPr>
                <w:rFonts w:ascii="Calibri" w:hAnsi="Calibri"/>
                <w:b/>
                <w:color w:val="0F172A"/>
                <w:sz w:val="17"/>
              </w:rPr>
              <w:t>Reason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/>
                <w:b w:val="0"/>
                <w:color w:val="0F172A"/>
                <w:sz w:val="17"/>
              </w:rPr>
              <w:t>P0</w:t>
            </w:r>
          </w:p>
        </w:tc>
        <w:tc>
          <w:tcPr>
            <w:tcW w:type="dxa" w:w="1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/>
                <w:b w:val="0"/>
                <w:color w:val="0F172A"/>
                <w:sz w:val="17"/>
              </w:rPr>
              <w:t>Paper-only clarity</w:t>
            </w:r>
          </w:p>
        </w:tc>
        <w:tc>
          <w:tcPr>
            <w:tcW w:type="dxa" w:w="4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/>
                <w:b w:val="0"/>
                <w:color w:val="0F172A"/>
                <w:sz w:val="17"/>
              </w:rPr>
              <w:t>Add persistent Paper only / no brokerage orders labels near Launch Agent, P&amp;L, onboarding backtest acceptance, and settings.</w:t>
            </w:r>
          </w:p>
        </w:tc>
        <w:tc>
          <w:tcPr>
            <w:tcW w:type="dxa" w:w="28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/>
                <w:b w:val="0"/>
                <w:color w:val="0F172A"/>
                <w:sz w:val="17"/>
              </w:rPr>
              <w:t>Reduces accidental over-trust and improves evaluator confidence.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/>
                <w:b w:val="0"/>
                <w:color w:val="0F172A"/>
                <w:sz w:val="17"/>
              </w:rPr>
              <w:t>P0</w:t>
            </w:r>
          </w:p>
        </w:tc>
        <w:tc>
          <w:tcPr>
            <w:tcW w:type="dxa" w:w="1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/>
                <w:b w:val="0"/>
                <w:color w:val="0F172A"/>
                <w:sz w:val="17"/>
              </w:rPr>
              <w:t>Strategy evidence</w:t>
            </w:r>
          </w:p>
        </w:tc>
        <w:tc>
          <w:tcPr>
            <w:tcW w:type="dxa" w:w="4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/>
                <w:b w:val="0"/>
                <w:color w:val="0F172A"/>
                <w:sz w:val="17"/>
              </w:rPr>
              <w:t>Add evidence-aware cards or drawers with promotion status, DSR, PBO, benchmark, OOS trades, cost stress, report path, and model artifact requirements.</w:t>
            </w:r>
          </w:p>
        </w:tc>
        <w:tc>
          <w:tcPr>
            <w:tcW w:type="dxa" w:w="28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/>
                <w:b w:val="0"/>
                <w:color w:val="0F172A"/>
                <w:sz w:val="17"/>
              </w:rPr>
              <w:t>Brings the project's strongest validation story into the product UI.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/>
                <w:b w:val="0"/>
                <w:color w:val="0F172A"/>
                <w:sz w:val="17"/>
              </w:rPr>
              <w:t>P1</w:t>
            </w:r>
          </w:p>
        </w:tc>
        <w:tc>
          <w:tcPr>
            <w:tcW w:type="dxa" w:w="1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/>
                <w:b w:val="0"/>
                <w:color w:val="0F172A"/>
                <w:sz w:val="17"/>
              </w:rPr>
              <w:t>Demo and empty states</w:t>
            </w:r>
          </w:p>
        </w:tc>
        <w:tc>
          <w:tcPr>
            <w:tcW w:type="dxa" w:w="4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/>
                <w:b w:val="0"/>
                <w:color w:val="0F172A"/>
                <w:sz w:val="17"/>
              </w:rPr>
              <w:t>Replace realistic fallback values with explicit demo, unavailable, or empty states.</w:t>
            </w:r>
          </w:p>
        </w:tc>
        <w:tc>
          <w:tcPr>
            <w:tcW w:type="dxa" w:w="28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/>
                <w:b w:val="0"/>
                <w:color w:val="0F172A"/>
                <w:sz w:val="17"/>
              </w:rPr>
              <w:t>Prevents missing backend state from looking like real performance.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/>
                <w:b w:val="0"/>
                <w:color w:val="0F172A"/>
                <w:sz w:val="17"/>
              </w:rPr>
              <w:t>P1</w:t>
            </w:r>
          </w:p>
        </w:tc>
        <w:tc>
          <w:tcPr>
            <w:tcW w:type="dxa" w:w="1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/>
                <w:b w:val="0"/>
                <w:color w:val="0F172A"/>
                <w:sz w:val="17"/>
              </w:rPr>
              <w:t>Dashboard health</w:t>
            </w:r>
          </w:p>
        </w:tc>
        <w:tc>
          <w:tcPr>
            <w:tcW w:type="dxa" w:w="4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/>
                <w:b w:val="0"/>
                <w:color w:val="0F172A"/>
                <w:sz w:val="17"/>
              </w:rPr>
              <w:t>Show latest bar date, last portfolio snapshot, last agent evaluation, active run ID, heartbeat, and stream connection state.</w:t>
            </w:r>
          </w:p>
        </w:tc>
        <w:tc>
          <w:tcPr>
            <w:tcW w:type="dxa" w:w="28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/>
                <w:b w:val="0"/>
                <w:color w:val="0F172A"/>
                <w:sz w:val="17"/>
              </w:rPr>
              <w:t>Improves reliability trust and operational transparency.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/>
                <w:b w:val="0"/>
                <w:color w:val="0F172A"/>
                <w:sz w:val="17"/>
              </w:rPr>
              <w:t>P1</w:t>
            </w:r>
          </w:p>
        </w:tc>
        <w:tc>
          <w:tcPr>
            <w:tcW w:type="dxa" w:w="1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/>
                <w:b w:val="0"/>
                <w:color w:val="0F172A"/>
                <w:sz w:val="17"/>
              </w:rPr>
              <w:t>Trade audit drawer</w:t>
            </w:r>
          </w:p>
        </w:tc>
        <w:tc>
          <w:tcPr>
            <w:tcW w:type="dxa" w:w="4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/>
                <w:b w:val="0"/>
                <w:color w:val="0F172A"/>
                <w:sz w:val="17"/>
              </w:rPr>
              <w:t>Show triggering strategy, target weight change, previous/current position, simulated fill price, timestamp, and related alert.</w:t>
            </w:r>
          </w:p>
        </w:tc>
        <w:tc>
          <w:tcPr>
            <w:tcW w:type="dxa" w:w="28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/>
                <w:b w:val="0"/>
                <w:color w:val="0F172A"/>
                <w:sz w:val="17"/>
              </w:rPr>
              <w:t>Answers the common why did this happen question.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/>
                <w:b w:val="0"/>
                <w:color w:val="0F172A"/>
                <w:sz w:val="17"/>
              </w:rPr>
              <w:t>P2</w:t>
            </w:r>
          </w:p>
        </w:tc>
        <w:tc>
          <w:tcPr>
            <w:tcW w:type="dxa" w:w="1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/>
                <w:b w:val="0"/>
                <w:color w:val="0F172A"/>
                <w:sz w:val="17"/>
              </w:rPr>
              <w:t>Education layer</w:t>
            </w:r>
          </w:p>
        </w:tc>
        <w:tc>
          <w:tcPr>
            <w:tcW w:type="dxa" w:w="4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/>
                <w:b w:val="0"/>
                <w:color w:val="0F172A"/>
                <w:sz w:val="17"/>
              </w:rPr>
              <w:t>Add tooltip explanations for Sharpe, Max DD, DSR, PBO, active sleeve, regime, LGBM, h63, leverage, stop-loss, and take-profit.</w:t>
            </w:r>
          </w:p>
        </w:tc>
        <w:tc>
          <w:tcPr>
            <w:tcW w:type="dxa" w:w="28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/>
                <w:b w:val="0"/>
                <w:color w:val="0F172A"/>
                <w:sz w:val="17"/>
              </w:rPr>
              <w:t>Makes the product more approachable for beginner users.</w:t>
            </w:r>
          </w:p>
        </w:tc>
      </w:tr>
    </w:tbl>
    <w:p>
      <w:pPr>
        <w:pStyle w:val="Heading1"/>
      </w:pPr>
      <w:r>
        <w:t>8. Future Real-Participant Research Plan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type="dxa" w:w="120"/>
      </w:tblPr>
      <w:tblGrid>
        <w:gridCol w:w="2400"/>
        <w:gridCol w:w="1350"/>
        <w:gridCol w:w="4010"/>
        <w:gridCol w:w="1600"/>
      </w:tblGrid>
      <w:tr>
        <w:trPr>
          <w:tblHeader w:val="true"/>
          <w:cantSplit/>
        </w:trPr>
        <w:tc>
          <w:tcPr>
            <w:tcW w:type="dxa" w:w="24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  <w:jc w:val="center"/>
            </w:pPr>
            <w:r>
              <w:rPr>
                <w:rFonts w:ascii="Calibri" w:hAnsi="Calibri"/>
                <w:b/>
                <w:color w:val="0F172A"/>
                <w:sz w:val="17"/>
              </w:rPr>
              <w:t>Method</w:t>
            </w:r>
          </w:p>
        </w:tc>
        <w:tc>
          <w:tcPr>
            <w:tcW w:type="dxa" w:w="135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  <w:jc w:val="center"/>
            </w:pPr>
            <w:r>
              <w:rPr>
                <w:rFonts w:ascii="Calibri" w:hAnsi="Calibri"/>
                <w:b/>
                <w:color w:val="0F172A"/>
                <w:sz w:val="17"/>
              </w:rPr>
              <w:t>Target sample</w:t>
            </w:r>
          </w:p>
        </w:tc>
        <w:tc>
          <w:tcPr>
            <w:tcW w:type="dxa" w:w="401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  <w:jc w:val="center"/>
            </w:pPr>
            <w:r>
              <w:rPr>
                <w:rFonts w:ascii="Calibri" w:hAnsi="Calibri"/>
                <w:b/>
                <w:color w:val="0F172A"/>
                <w:sz w:val="17"/>
              </w:rPr>
              <w:t>Privacy-safe setup</w:t>
            </w:r>
          </w:p>
        </w:tc>
        <w:tc>
          <w:tcPr>
            <w:tcW w:type="dxa" w:w="16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  <w:jc w:val="center"/>
            </w:pPr>
            <w:r>
              <w:rPr>
                <w:rFonts w:ascii="Calibri" w:hAnsi="Calibri"/>
                <w:b/>
                <w:color w:val="0F172A"/>
                <w:sz w:val="17"/>
              </w:rPr>
              <w:t>Status</w:t>
            </w:r>
          </w:p>
        </w:tc>
      </w:tr>
      <w:tr>
        <w:trPr>
          <w:cantSplit/>
        </w:trPr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/>
                <w:b w:val="0"/>
                <w:color w:val="0F172A"/>
                <w:sz w:val="17"/>
              </w:rPr>
              <w:t>Actual user focus group / interviews</w:t>
            </w:r>
          </w:p>
        </w:tc>
        <w:tc>
          <w:tcPr>
            <w:tcW w:type="dxa" w:w="1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/>
                <w:b w:val="0"/>
                <w:color w:val="0F172A"/>
                <w:sz w:val="17"/>
              </w:rPr>
              <w:t>10 participants</w:t>
            </w:r>
          </w:p>
        </w:tc>
        <w:tc>
          <w:tcPr>
            <w:tcW w:type="dxa" w:w="4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/>
                <w:b w:val="0"/>
                <w:color w:val="0F172A"/>
                <w:sz w:val="17"/>
              </w:rPr>
              <w:t>45-60 minute private sessions with seeded demo accounts; no real portfolio data.</w:t>
            </w:r>
          </w:p>
        </w:tc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/>
                <w:b w:val="0"/>
                <w:color w:val="0F172A"/>
                <w:sz w:val="17"/>
              </w:rPr>
              <w:t>Not completed.</w:t>
            </w:r>
          </w:p>
        </w:tc>
      </w:tr>
      <w:tr>
        <w:trPr>
          <w:cantSplit/>
        </w:trPr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/>
                <w:b w:val="0"/>
                <w:color w:val="0F172A"/>
                <w:sz w:val="17"/>
              </w:rPr>
              <w:t>Low-fidelity usability testing</w:t>
            </w:r>
          </w:p>
        </w:tc>
        <w:tc>
          <w:tcPr>
            <w:tcW w:type="dxa" w:w="1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/>
                <w:b w:val="0"/>
                <w:color w:val="0F172A"/>
                <w:sz w:val="17"/>
              </w:rPr>
              <w:t>5-8 participants</w:t>
            </w:r>
          </w:p>
        </w:tc>
        <w:tc>
          <w:tcPr>
            <w:tcW w:type="dxa" w:w="4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/>
                <w:b w:val="0"/>
                <w:color w:val="0F172A"/>
                <w:sz w:val="17"/>
              </w:rPr>
              <w:t>Figma or wireframe tests for onboarding, evidence drawer, dashboard status, and settings lock.</w:t>
            </w:r>
          </w:p>
        </w:tc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/>
                <w:b w:val="0"/>
                <w:color w:val="0F172A"/>
                <w:sz w:val="17"/>
              </w:rPr>
              <w:t>Not completed.</w:t>
            </w:r>
          </w:p>
        </w:tc>
      </w:tr>
      <w:tr>
        <w:trPr>
          <w:cantSplit/>
        </w:trPr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/>
                <w:b w:val="0"/>
                <w:color w:val="0F172A"/>
                <w:sz w:val="17"/>
              </w:rPr>
              <w:t>Survey of potential users</w:t>
            </w:r>
          </w:p>
        </w:tc>
        <w:tc>
          <w:tcPr>
            <w:tcW w:type="dxa" w:w="1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/>
                <w:b w:val="0"/>
                <w:color w:val="0F172A"/>
                <w:sz w:val="17"/>
              </w:rPr>
              <w:t>50 respondents</w:t>
            </w:r>
          </w:p>
        </w:tc>
        <w:tc>
          <w:tcPr>
            <w:tcW w:type="dxa" w:w="4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/>
                <w:b w:val="0"/>
                <w:color w:val="0F172A"/>
                <w:sz w:val="17"/>
              </w:rPr>
              <w:t>Private survey covering trust, safety expectations, strategy evidence, and feature priorities.</w:t>
            </w:r>
          </w:p>
        </w:tc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/>
                <w:b w:val="0"/>
                <w:color w:val="0F172A"/>
                <w:sz w:val="17"/>
              </w:rPr>
              <w:t>Not fielded.</w:t>
            </w:r>
          </w:p>
        </w:tc>
      </w:tr>
      <w:tr>
        <w:trPr>
          <w:cantSplit/>
        </w:trPr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/>
                <w:b w:val="0"/>
                <w:color w:val="0F172A"/>
                <w:sz w:val="17"/>
              </w:rPr>
              <w:t>High-fidelity usability testing</w:t>
            </w:r>
          </w:p>
        </w:tc>
        <w:tc>
          <w:tcPr>
            <w:tcW w:type="dxa" w:w="1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/>
                <w:b w:val="0"/>
                <w:color w:val="0F172A"/>
                <w:sz w:val="17"/>
              </w:rPr>
              <w:t>8-12 participants</w:t>
            </w:r>
          </w:p>
        </w:tc>
        <w:tc>
          <w:tcPr>
            <w:tcW w:type="dxa" w:w="4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/>
                <w:b w:val="0"/>
                <w:color w:val="0F172A"/>
                <w:sz w:val="17"/>
              </w:rPr>
              <w:t>Working prototype with seeded account; measure task success, assists, trust, safety comprehension, and SUS.</w:t>
            </w:r>
          </w:p>
        </w:tc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/>
                <w:b w:val="0"/>
                <w:color w:val="0F172A"/>
                <w:sz w:val="17"/>
              </w:rPr>
              <w:t>Not completed.</w:t>
            </w:r>
          </w:p>
        </w:tc>
      </w:tr>
    </w:tbl>
    <w:p>
      <w:pPr>
        <w:spacing w:before="120" w:after="120" w:line="264" w:lineRule="auto"/>
      </w:pPr>
      <w:r>
        <w:rPr>
          <w:rFonts w:ascii="Calibri" w:hAnsi="Calibri"/>
          <w:color w:val="0F172A"/>
          <w:sz w:val="22"/>
        </w:rPr>
        <w:t>The best next evidence step is a private high-fidelity usability test with five real participants using seeded accounts. This would provide stronger evidence than additional simulated personas while avoiding public launch and protecting privacy.</w:t>
      </w:r>
    </w:p>
    <w:p>
      <w:r>
        <w:br w:type="page"/>
      </w:r>
    </w:p>
    <w:p>
      <w:pPr>
        <w:pStyle w:val="Heading1"/>
      </w:pPr>
      <w:r>
        <w:t>9. Simulated Proxy Survey Results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type="dxa" w:w="120"/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EF2F2"/>
          </w:tcPr>
          <w:p>
            <w:pPr>
              <w:spacing w:after="60"/>
            </w:pPr>
            <w:r>
              <w:rPr>
                <w:rFonts w:ascii="Calibri" w:hAnsi="Calibri"/>
                <w:b/>
                <w:color w:val="0F172A"/>
                <w:sz w:val="21"/>
              </w:rPr>
              <w:t>Evidence boundary</w:t>
            </w:r>
          </w:p>
          <w:p>
            <w:pPr>
              <w:spacing w:after="0" w:line="264" w:lineRule="auto"/>
            </w:pPr>
            <w:r>
              <w:rPr>
                <w:rFonts w:ascii="Calibri" w:hAnsi="Calibri"/>
                <w:color w:val="0F172A"/>
                <w:sz w:val="21"/>
              </w:rPr>
              <w:t>The results below come from a simulated 50-person proxy survey run through subagents. They are useful as fast product-planning and investor-narrative signals, but they are not real survey responses and should not be represented as actual user research.</w:t>
            </w:r>
          </w:p>
        </w:tc>
      </w:tr>
    </w:tbl>
    <w:p>
      <w:pPr>
        <w:spacing w:after="40"/>
      </w:pPr>
    </w:p>
    <w:p>
      <w:pPr>
        <w:spacing w:before="0" w:after="120" w:line="264" w:lineRule="auto"/>
      </w:pPr>
      <w:r>
        <w:rPr>
          <w:rFonts w:ascii="Calibri" w:hAnsi="Calibri"/>
          <w:color w:val="0F172A"/>
          <w:sz w:val="22"/>
        </w:rPr>
        <w:t>The proxy survey was segmented into 20 beginner/intermediate potential users, 15 risk-aware or technical potential users, and 15 evaluator/compliance/finance-student personas. Ratings are weighted by segment size.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type="dxa" w:w="120"/>
      </w:tblPr>
      <w:tblGrid>
        <w:gridCol w:w="3000"/>
        <w:gridCol w:w="1600"/>
        <w:gridCol w:w="4760"/>
      </w:tblGrid>
      <w:tr>
        <w:trPr>
          <w:tblHeader w:val="true"/>
          <w:cantSplit/>
        </w:trPr>
        <w:tc>
          <w:tcPr>
            <w:tcW w:type="dxa" w:w="30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  <w:jc w:val="center"/>
            </w:pPr>
            <w:r>
              <w:rPr>
                <w:rFonts w:ascii="Calibri" w:hAnsi="Calibri"/>
                <w:b/>
                <w:color w:val="0F172A"/>
                <w:sz w:val="17"/>
              </w:rPr>
              <w:t>Simulated survey metric</w:t>
            </w:r>
          </w:p>
        </w:tc>
        <w:tc>
          <w:tcPr>
            <w:tcW w:type="dxa" w:w="16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  <w:jc w:val="center"/>
            </w:pPr>
            <w:r>
              <w:rPr>
                <w:rFonts w:ascii="Calibri" w:hAnsi="Calibri"/>
                <w:b/>
                <w:color w:val="0F172A"/>
                <w:sz w:val="17"/>
              </w:rPr>
              <w:t>Weighted result</w:t>
            </w:r>
          </w:p>
        </w:tc>
        <w:tc>
          <w:tcPr>
            <w:tcW w:type="dxa" w:w="47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  <w:jc w:val="center"/>
            </w:pPr>
            <w:r>
              <w:rPr>
                <w:rFonts w:ascii="Calibri" w:hAnsi="Calibri"/>
                <w:b/>
                <w:color w:val="0F172A"/>
                <w:sz w:val="17"/>
              </w:rPr>
              <w:t>Interpretation</w:t>
            </w:r>
          </w:p>
        </w:tc>
      </w:tr>
      <w:tr>
        <w:trPr>
          <w:cantSplit/>
        </w:trPr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/>
                <w:b w:val="0"/>
                <w:color w:val="0F172A"/>
                <w:sz w:val="17"/>
              </w:rPr>
              <w:t>Concept clarity</w:t>
            </w:r>
          </w:p>
        </w:tc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/>
                <w:b w:val="0"/>
                <w:color w:val="0F172A"/>
                <w:sz w:val="17"/>
              </w:rPr>
              <w:t>4.1 / 5</w:t>
            </w:r>
          </w:p>
        </w:tc>
        <w:tc>
          <w:tcPr>
            <w:tcW w:type="dxa" w:w="4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/>
                <w:b w:val="0"/>
                <w:color w:val="0F172A"/>
                <w:sz w:val="17"/>
              </w:rPr>
              <w:t>The concept is easy to understand when framed as research-first paper trading.</w:t>
            </w:r>
          </w:p>
        </w:tc>
      </w:tr>
      <w:tr>
        <w:trPr>
          <w:cantSplit/>
        </w:trPr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/>
                <w:b w:val="0"/>
                <w:color w:val="0F172A"/>
                <w:sz w:val="17"/>
              </w:rPr>
              <w:t>Paper-only understanding</w:t>
            </w:r>
          </w:p>
        </w:tc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/>
                <w:b w:val="0"/>
                <w:color w:val="0F172A"/>
                <w:sz w:val="17"/>
              </w:rPr>
              <w:t>4.4 / 5</w:t>
            </w:r>
          </w:p>
        </w:tc>
        <w:tc>
          <w:tcPr>
            <w:tcW w:type="dxa" w:w="4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/>
                <w:b w:val="0"/>
                <w:color w:val="0F172A"/>
                <w:sz w:val="17"/>
              </w:rPr>
              <w:t>The paper-only positioning lands well and should be repeated visually in product.</w:t>
            </w:r>
          </w:p>
        </w:tc>
      </w:tr>
      <w:tr>
        <w:trPr>
          <w:cantSplit/>
        </w:trPr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/>
                <w:b w:val="0"/>
                <w:color w:val="0F172A"/>
                <w:sz w:val="17"/>
              </w:rPr>
              <w:t>Trust after safety guardrails</w:t>
            </w:r>
          </w:p>
        </w:tc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/>
                <w:b w:val="0"/>
                <w:color w:val="0F172A"/>
                <w:sz w:val="17"/>
              </w:rPr>
              <w:t>4.1 / 5</w:t>
            </w:r>
          </w:p>
        </w:tc>
        <w:tc>
          <w:tcPr>
            <w:tcW w:type="dxa" w:w="4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/>
                <w:b w:val="0"/>
                <w:color w:val="0F172A"/>
                <w:sz w:val="17"/>
              </w:rPr>
              <w:t>Active-agent locks and no-live-trading positioning are strong trust builders.</w:t>
            </w:r>
          </w:p>
        </w:tc>
      </w:tr>
      <w:tr>
        <w:trPr>
          <w:cantSplit/>
        </w:trPr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/>
                <w:b w:val="0"/>
                <w:color w:val="0F172A"/>
                <w:sz w:val="17"/>
              </w:rPr>
              <w:t>Desire for validation evidence</w:t>
            </w:r>
          </w:p>
        </w:tc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/>
                <w:b w:val="0"/>
                <w:color w:val="0F172A"/>
                <w:sz w:val="17"/>
              </w:rPr>
              <w:t>4.7 / 5</w:t>
            </w:r>
          </w:p>
        </w:tc>
        <w:tc>
          <w:tcPr>
            <w:tcW w:type="dxa" w:w="4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/>
                <w:b w:val="0"/>
                <w:color w:val="0F172A"/>
                <w:sz w:val="17"/>
              </w:rPr>
              <w:t>Report-backed strategy evidence is the strongest conversion driver.</w:t>
            </w:r>
          </w:p>
        </w:tc>
      </w:tr>
      <w:tr>
        <w:trPr>
          <w:cantSplit/>
        </w:trPr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/>
                <w:b w:val="0"/>
                <w:color w:val="0F172A"/>
                <w:sz w:val="17"/>
              </w:rPr>
              <w:t>Interest in beginner education</w:t>
            </w:r>
          </w:p>
        </w:tc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/>
                <w:b w:val="0"/>
                <w:color w:val="0F172A"/>
                <w:sz w:val="17"/>
              </w:rPr>
              <w:t>4.2 / 5</w:t>
            </w:r>
          </w:p>
        </w:tc>
        <w:tc>
          <w:tcPr>
            <w:tcW w:type="dxa" w:w="4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/>
                <w:b w:val="0"/>
                <w:color w:val="0F172A"/>
                <w:sz w:val="17"/>
              </w:rPr>
              <w:t>Guided explanations remain valuable, especially for beginner and student audiences.</w:t>
            </w:r>
          </w:p>
        </w:tc>
      </w:tr>
      <w:tr>
        <w:trPr>
          <w:cantSplit/>
        </w:trPr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/>
                <w:b w:val="0"/>
                <w:color w:val="0F172A"/>
                <w:sz w:val="17"/>
              </w:rPr>
              <w:t>Likelihood to try private demo</w:t>
            </w:r>
          </w:p>
        </w:tc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/>
                <w:b w:val="0"/>
                <w:color w:val="0F172A"/>
                <w:sz w:val="17"/>
              </w:rPr>
              <w:t>3.9 / 5</w:t>
            </w:r>
          </w:p>
        </w:tc>
        <w:tc>
          <w:tcPr>
            <w:tcW w:type="dxa" w:w="4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/>
                <w:b w:val="0"/>
                <w:color w:val="0F172A"/>
                <w:sz w:val="17"/>
              </w:rPr>
              <w:t>Private demo interest is positive but depends on clarity, simplicity, and proof.</w:t>
            </w:r>
          </w:p>
        </w:tc>
      </w:tr>
    </w:tbl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type="dxa" w:w="120"/>
      </w:tblPr>
      <w:tblGrid>
        <w:gridCol w:w="3000"/>
        <w:gridCol w:w="700"/>
        <w:gridCol w:w="5660"/>
      </w:tblGrid>
      <w:tr>
        <w:trPr>
          <w:tblHeader w:val="true"/>
          <w:cantSplit/>
        </w:trPr>
        <w:tc>
          <w:tcPr>
            <w:tcW w:type="dxa" w:w="30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  <w:jc w:val="center"/>
            </w:pPr>
            <w:r>
              <w:rPr>
                <w:rFonts w:ascii="Calibri" w:hAnsi="Calibri"/>
                <w:b/>
                <w:color w:val="0F172A"/>
                <w:sz w:val="17"/>
              </w:rPr>
              <w:t>Proxy segment</w:t>
            </w:r>
          </w:p>
        </w:tc>
        <w:tc>
          <w:tcPr>
            <w:tcW w:type="dxa" w:w="7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  <w:jc w:val="center"/>
            </w:pPr>
            <w:r>
              <w:rPr>
                <w:rFonts w:ascii="Calibri" w:hAnsi="Calibri"/>
                <w:b/>
                <w:color w:val="0F172A"/>
                <w:sz w:val="17"/>
              </w:rPr>
              <w:t>N</w:t>
            </w:r>
          </w:p>
        </w:tc>
        <w:tc>
          <w:tcPr>
            <w:tcW w:type="dxa" w:w="566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  <w:jc w:val="center"/>
            </w:pPr>
            <w:r>
              <w:rPr>
                <w:rFonts w:ascii="Calibri" w:hAnsi="Calibri"/>
                <w:b/>
                <w:color w:val="0F172A"/>
                <w:sz w:val="17"/>
              </w:rPr>
              <w:t>Segment signal</w:t>
            </w:r>
          </w:p>
        </w:tc>
      </w:tr>
      <w:tr>
        <w:trPr>
          <w:cantSplit/>
        </w:trPr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/>
                <w:b w:val="0"/>
                <w:color w:val="0F172A"/>
                <w:sz w:val="17"/>
              </w:rPr>
              <w:t>Beginner/intermediate investing users</w:t>
            </w:r>
          </w:p>
        </w:tc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/>
                <w:b w:val="0"/>
                <w:color w:val="0F172A"/>
                <w:sz w:val="17"/>
              </w:rPr>
              <w:t>20</w:t>
            </w:r>
          </w:p>
        </w:tc>
        <w:tc>
          <w:tcPr>
            <w:tcW w:type="dxa" w:w="5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/>
                <w:b w:val="0"/>
                <w:color w:val="0F172A"/>
                <w:sz w:val="17"/>
              </w:rPr>
              <w:t>Concept clarity 4.1; paper-only 4.4; trust 4.2; validation evidence 4.6; education 4.5; demo likelihood 3.9.</w:t>
            </w:r>
          </w:p>
        </w:tc>
      </w:tr>
      <w:tr>
        <w:trPr>
          <w:cantSplit/>
        </w:trPr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/>
                <w:b w:val="0"/>
                <w:color w:val="0F172A"/>
                <w:sz w:val="17"/>
              </w:rPr>
              <w:t>Risk-aware / technical users</w:t>
            </w:r>
          </w:p>
        </w:tc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/>
                <w:b w:val="0"/>
                <w:color w:val="0F172A"/>
                <w:sz w:val="17"/>
              </w:rPr>
              <w:t>15</w:t>
            </w:r>
          </w:p>
        </w:tc>
        <w:tc>
          <w:tcPr>
            <w:tcW w:type="dxa" w:w="5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/>
                <w:b w:val="0"/>
                <w:color w:val="0F172A"/>
                <w:sz w:val="17"/>
              </w:rPr>
              <w:t>Concept clarity 4.1; paper-only 4.5; trust 4.3; validation evidence 4.8; education 3.7; demo likelihood 4.0.</w:t>
            </w:r>
          </w:p>
        </w:tc>
      </w:tr>
      <w:tr>
        <w:trPr>
          <w:cantSplit/>
        </w:trPr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/>
                <w:b w:val="0"/>
                <w:color w:val="0F172A"/>
                <w:sz w:val="17"/>
              </w:rPr>
              <w:t>Evaluator / compliance / finance-student users</w:t>
            </w:r>
          </w:p>
        </w:tc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/>
                <w:b w:val="0"/>
                <w:color w:val="0F172A"/>
                <w:sz w:val="17"/>
              </w:rPr>
              <w:t>15</w:t>
            </w:r>
          </w:p>
        </w:tc>
        <w:tc>
          <w:tcPr>
            <w:tcW w:type="dxa" w:w="5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/>
                <w:b w:val="0"/>
                <w:color w:val="0F172A"/>
                <w:sz w:val="17"/>
              </w:rPr>
              <w:t>Concept clarity 4.1; paper-only 4.4; trust 3.9; validation evidence 4.7; education 4.3; demo likelihood 3.8.</w:t>
            </w:r>
          </w:p>
        </w:tc>
      </w:tr>
    </w:tbl>
    <w:p>
      <w:pPr>
        <w:spacing w:before="0" w:after="80" w:line="264" w:lineRule="auto"/>
      </w:pPr>
      <w:r>
        <w:rPr>
          <w:rFonts w:ascii="Calibri" w:hAnsi="Calibri"/>
          <w:color w:val="0F172A"/>
          <w:sz w:val="22"/>
        </w:rPr>
        <w:t>Strongest positive signal: the product is compelling when positioned as a paper-only research lab with visible safety controls and report-backed strategy evidence. Main funding-readiness gap: actual demo usage, real participant feedback, and credible proof that users return after the first session.</w:t>
      </w:r>
    </w:p>
    <w:p>
      <w:pPr>
        <w:pStyle w:val="ListBullet"/>
        <w:spacing w:after="80" w:line="276" w:lineRule="auto"/>
      </w:pPr>
      <w:r>
        <w:rPr>
          <w:rFonts w:ascii="Calibri" w:hAnsi="Calibri"/>
          <w:color w:val="0F172A"/>
          <w:sz w:val="22"/>
        </w:rPr>
        <w:t>Simulated quote: "The safety-lock framing makes it feel more like a research lab than a trading bot, which is the right direction."</w:t>
      </w:r>
    </w:p>
    <w:p>
      <w:pPr>
        <w:pStyle w:val="ListBullet"/>
        <w:spacing w:after="80" w:line="276" w:lineRule="auto"/>
      </w:pPr>
      <w:r>
        <w:rPr>
          <w:rFonts w:ascii="Calibri" w:hAnsi="Calibri"/>
          <w:color w:val="0F172A"/>
          <w:sz w:val="22"/>
        </w:rPr>
        <w:t>Simulated quote: "Report-backed validation is the part I care about most. Show me the evidence and I'll spend time with it."</w:t>
      </w:r>
    </w:p>
    <w:p>
      <w:pPr>
        <w:pStyle w:val="ListBullet"/>
        <w:spacing w:after="80" w:line="276" w:lineRule="auto"/>
      </w:pPr>
      <w:r>
        <w:rPr>
          <w:rFonts w:ascii="Calibri" w:hAnsi="Calibri"/>
          <w:color w:val="0F172A"/>
          <w:sz w:val="22"/>
        </w:rPr>
        <w:t>Simulated quote: "If it stays clearly paper-only and teaches the reasoning behind strategies, I can see this being useful for finance students without encouraging risky behavior."</w:t>
      </w:r>
    </w:p>
    <w:p>
      <w:pPr>
        <w:pStyle w:val="Heading1"/>
      </w:pPr>
      <w:r>
        <w:t>10. Potential User Survey Instrument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type="dxa" w:w="120"/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7ED"/>
          </w:tcPr>
          <w:p>
            <w:pPr>
              <w:spacing w:after="60"/>
            </w:pPr>
            <w:r>
              <w:rPr>
                <w:rFonts w:ascii="Calibri" w:hAnsi="Calibri"/>
                <w:b/>
                <w:color w:val="0F172A"/>
                <w:sz w:val="21"/>
              </w:rPr>
              <w:t>Survey status</w:t>
            </w:r>
          </w:p>
          <w:p>
            <w:pPr>
              <w:spacing w:after="0" w:line="264" w:lineRule="auto"/>
            </w:pPr>
            <w:r>
              <w:rPr>
                <w:rFonts w:ascii="Calibri" w:hAnsi="Calibri"/>
                <w:color w:val="0F172A"/>
                <w:sz w:val="21"/>
              </w:rPr>
              <w:t>A real potential-user survey has not been fielded yet. The instrument below is ready to use with 50 real potential users, but real-world results should only be reported after actual responses are collected and anonymized.</w:t>
            </w:r>
          </w:p>
        </w:tc>
      </w:tr>
    </w:tbl>
    <w:p>
      <w:pPr>
        <w:spacing w:after="40"/>
      </w:pP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type="dxa" w:w="120"/>
      </w:tblPr>
      <w:tblGrid>
        <w:gridCol w:w="1400"/>
        <w:gridCol w:w="3800"/>
        <w:gridCol w:w="1800"/>
        <w:gridCol w:w="2360"/>
      </w:tblGrid>
      <w:tr>
        <w:trPr>
          <w:tblHeader w:val="true"/>
          <w:cantSplit/>
        </w:trPr>
        <w:tc>
          <w:tcPr>
            <w:tcW w:type="dxa" w:w="14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  <w:jc w:val="center"/>
            </w:pPr>
            <w:r>
              <w:rPr>
                <w:rFonts w:ascii="Calibri" w:hAnsi="Calibri"/>
                <w:b/>
                <w:color w:val="0F172A"/>
                <w:sz w:val="16"/>
              </w:rPr>
              <w:t>Module</w:t>
            </w:r>
          </w:p>
        </w:tc>
        <w:tc>
          <w:tcPr>
            <w:tcW w:type="dxa" w:w="38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  <w:jc w:val="center"/>
            </w:pPr>
            <w:r>
              <w:rPr>
                <w:rFonts w:ascii="Calibri" w:hAnsi="Calibri"/>
                <w:b/>
                <w:color w:val="0F172A"/>
                <w:sz w:val="16"/>
              </w:rPr>
              <w:t>Survey item</w:t>
            </w:r>
          </w:p>
        </w:tc>
        <w:tc>
          <w:tcPr>
            <w:tcW w:type="dxa" w:w="18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  <w:jc w:val="center"/>
            </w:pPr>
            <w:r>
              <w:rPr>
                <w:rFonts w:ascii="Calibri" w:hAnsi="Calibri"/>
                <w:b/>
                <w:color w:val="0F172A"/>
                <w:sz w:val="16"/>
              </w:rPr>
              <w:t>Response type</w:t>
            </w:r>
          </w:p>
        </w:tc>
        <w:tc>
          <w:tcPr>
            <w:tcW w:type="dxa" w:w="23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  <w:jc w:val="center"/>
            </w:pPr>
            <w:r>
              <w:rPr>
                <w:rFonts w:ascii="Calibri" w:hAnsi="Calibri"/>
                <w:b/>
                <w:color w:val="0F172A"/>
                <w:sz w:val="16"/>
              </w:rPr>
              <w:t>Why it matters</w:t>
            </w:r>
          </w:p>
        </w:tc>
      </w:tr>
      <w:tr>
        <w:trPr>
          <w:cantSplit/>
        </w:trPr>
        <w:tc>
          <w:tcPr>
            <w:tcW w:type="dxa" w:w="1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/>
                <w:b w:val="0"/>
                <w:color w:val="0F172A"/>
                <w:sz w:val="16"/>
              </w:rPr>
              <w:t>Screener</w:t>
            </w:r>
          </w:p>
        </w:tc>
        <w:tc>
          <w:tcPr>
            <w:tcW w:type="dxa" w:w="3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/>
                <w:b w:val="0"/>
                <w:color w:val="0F172A"/>
                <w:sz w:val="16"/>
              </w:rPr>
              <w:t>How would you describe your investing or trading experience?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/>
                <w:b w:val="0"/>
                <w:color w:val="0F172A"/>
                <w:sz w:val="16"/>
              </w:rPr>
              <w:t>Beginner / intermediate / advanced / none</w:t>
            </w:r>
          </w:p>
        </w:tc>
        <w:tc>
          <w:tcPr>
            <w:tcW w:type="dxa" w:w="2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/>
                <w:b w:val="0"/>
                <w:color w:val="0F172A"/>
                <w:sz w:val="16"/>
              </w:rPr>
              <w:t>Segments results by experience level.</w:t>
            </w:r>
          </w:p>
        </w:tc>
      </w:tr>
      <w:tr>
        <w:trPr>
          <w:cantSplit/>
        </w:trPr>
        <w:tc>
          <w:tcPr>
            <w:tcW w:type="dxa" w:w="1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/>
                <w:b w:val="0"/>
                <w:color w:val="0F172A"/>
                <w:sz w:val="16"/>
              </w:rPr>
              <w:t>Screener</w:t>
            </w:r>
          </w:p>
        </w:tc>
        <w:tc>
          <w:tcPr>
            <w:tcW w:type="dxa" w:w="3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/>
                <w:b w:val="0"/>
                <w:color w:val="0F172A"/>
                <w:sz w:val="16"/>
              </w:rPr>
              <w:t>Have you used a paper-trading, investing, or backtesting tool before?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/>
                <w:b w:val="0"/>
                <w:color w:val="0F172A"/>
                <w:sz w:val="16"/>
              </w:rPr>
              <w:t>Yes / no</w:t>
            </w:r>
          </w:p>
        </w:tc>
        <w:tc>
          <w:tcPr>
            <w:tcW w:type="dxa" w:w="2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/>
                <w:b w:val="0"/>
                <w:color w:val="0F172A"/>
                <w:sz w:val="16"/>
              </w:rPr>
              <w:t>Separates familiar users from first-time users.</w:t>
            </w:r>
          </w:p>
        </w:tc>
      </w:tr>
      <w:tr>
        <w:trPr>
          <w:cantSplit/>
        </w:trPr>
        <w:tc>
          <w:tcPr>
            <w:tcW w:type="dxa" w:w="1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/>
                <w:b w:val="0"/>
                <w:color w:val="0F172A"/>
                <w:sz w:val="16"/>
              </w:rPr>
              <w:t>Concept clarity</w:t>
            </w:r>
          </w:p>
        </w:tc>
        <w:tc>
          <w:tcPr>
            <w:tcW w:type="dxa" w:w="3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/>
                <w:b w:val="0"/>
                <w:color w:val="0F172A"/>
                <w:sz w:val="16"/>
              </w:rPr>
              <w:t>I understand that O(Alpha) is for paper trading only.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/>
                <w:b w:val="0"/>
                <w:color w:val="0F172A"/>
                <w:sz w:val="16"/>
              </w:rPr>
              <w:t>1-5 agreement</w:t>
            </w:r>
          </w:p>
        </w:tc>
        <w:tc>
          <w:tcPr>
            <w:tcW w:type="dxa" w:w="2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/>
                <w:b w:val="0"/>
                <w:color w:val="0F172A"/>
                <w:sz w:val="16"/>
              </w:rPr>
              <w:t>Checks whether the safety scope is understood.</w:t>
            </w:r>
          </w:p>
        </w:tc>
      </w:tr>
      <w:tr>
        <w:trPr>
          <w:cantSplit/>
        </w:trPr>
        <w:tc>
          <w:tcPr>
            <w:tcW w:type="dxa" w:w="1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/>
                <w:b w:val="0"/>
                <w:color w:val="0F172A"/>
                <w:sz w:val="16"/>
              </w:rPr>
              <w:t>Trust</w:t>
            </w:r>
          </w:p>
        </w:tc>
        <w:tc>
          <w:tcPr>
            <w:tcW w:type="dxa" w:w="3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/>
                <w:b w:val="0"/>
                <w:color w:val="0F172A"/>
                <w:sz w:val="16"/>
              </w:rPr>
              <w:t>I would want to see validation evidence before launching an automated strategy.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/>
                <w:b w:val="0"/>
                <w:color w:val="0F172A"/>
                <w:sz w:val="16"/>
              </w:rPr>
              <w:t>1-5 agreement</w:t>
            </w:r>
          </w:p>
        </w:tc>
        <w:tc>
          <w:tcPr>
            <w:tcW w:type="dxa" w:w="2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/>
                <w:b w:val="0"/>
                <w:color w:val="0F172A"/>
                <w:sz w:val="16"/>
              </w:rPr>
              <w:t>Tests demand for report-backed proof.</w:t>
            </w:r>
          </w:p>
        </w:tc>
      </w:tr>
      <w:tr>
        <w:trPr>
          <w:cantSplit/>
        </w:trPr>
        <w:tc>
          <w:tcPr>
            <w:tcW w:type="dxa" w:w="1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/>
                <w:b w:val="0"/>
                <w:color w:val="0F172A"/>
                <w:sz w:val="16"/>
              </w:rPr>
              <w:t>Reverse-coded trust</w:t>
            </w:r>
          </w:p>
        </w:tc>
        <w:tc>
          <w:tcPr>
            <w:tcW w:type="dxa" w:w="3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/>
                <w:b w:val="0"/>
                <w:color w:val="0F172A"/>
                <w:sz w:val="16"/>
              </w:rPr>
              <w:t>A five-year backtest alone is enough for me to trust a strategy.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/>
                <w:b w:val="0"/>
                <w:color w:val="0F172A"/>
                <w:sz w:val="16"/>
              </w:rPr>
              <w:t>1-5 agreement</w:t>
            </w:r>
          </w:p>
        </w:tc>
        <w:tc>
          <w:tcPr>
            <w:tcW w:type="dxa" w:w="2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/>
                <w:b w:val="0"/>
                <w:color w:val="0F172A"/>
                <w:sz w:val="16"/>
              </w:rPr>
              <w:t>Flags over-trust in simple backtests.</w:t>
            </w:r>
          </w:p>
        </w:tc>
      </w:tr>
      <w:tr>
        <w:trPr>
          <w:cantSplit/>
        </w:trPr>
        <w:tc>
          <w:tcPr>
            <w:tcW w:type="dxa" w:w="1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/>
                <w:b w:val="0"/>
                <w:color w:val="0F172A"/>
                <w:sz w:val="16"/>
              </w:rPr>
              <w:t>Safety concern</w:t>
            </w:r>
          </w:p>
        </w:tc>
        <w:tc>
          <w:tcPr>
            <w:tcW w:type="dxa" w:w="3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/>
                <w:b w:val="0"/>
                <w:color w:val="0F172A"/>
                <w:sz w:val="16"/>
              </w:rPr>
              <w:t>I am concerned about accidentally placing real trades.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/>
                <w:b w:val="0"/>
                <w:color w:val="0F172A"/>
                <w:sz w:val="16"/>
              </w:rPr>
              <w:t>1-5 agreement</w:t>
            </w:r>
          </w:p>
        </w:tc>
        <w:tc>
          <w:tcPr>
            <w:tcW w:type="dxa" w:w="2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/>
                <w:b w:val="0"/>
                <w:color w:val="0F172A"/>
                <w:sz w:val="16"/>
              </w:rPr>
              <w:t>Measures need for stronger no-live-orders messaging.</w:t>
            </w:r>
          </w:p>
        </w:tc>
      </w:tr>
      <w:tr>
        <w:trPr>
          <w:cantSplit/>
        </w:trPr>
        <w:tc>
          <w:tcPr>
            <w:tcW w:type="dxa" w:w="1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/>
                <w:b w:val="0"/>
                <w:color w:val="0F172A"/>
                <w:sz w:val="16"/>
              </w:rPr>
              <w:t>Evidence</w:t>
            </w:r>
          </w:p>
        </w:tc>
        <w:tc>
          <w:tcPr>
            <w:tcW w:type="dxa" w:w="3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/>
                <w:b w:val="0"/>
                <w:color w:val="0F172A"/>
                <w:sz w:val="16"/>
              </w:rPr>
              <w:t>I would find DSR, PBO, benchmark, and report links useful on strategy cards.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/>
                <w:b w:val="0"/>
                <w:color w:val="0F172A"/>
                <w:sz w:val="16"/>
              </w:rPr>
              <w:t>1-5 agreement</w:t>
            </w:r>
          </w:p>
        </w:tc>
        <w:tc>
          <w:tcPr>
            <w:tcW w:type="dxa" w:w="2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/>
                <w:b w:val="0"/>
                <w:color w:val="0F172A"/>
                <w:sz w:val="16"/>
              </w:rPr>
              <w:t>Validates the evidence-card roadmap.</w:t>
            </w:r>
          </w:p>
        </w:tc>
      </w:tr>
      <w:tr>
        <w:trPr>
          <w:cantSplit/>
        </w:trPr>
        <w:tc>
          <w:tcPr>
            <w:tcW w:type="dxa" w:w="1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/>
                <w:b w:val="0"/>
                <w:color w:val="0F172A"/>
                <w:sz w:val="16"/>
              </w:rPr>
              <w:t>Education</w:t>
            </w:r>
          </w:p>
        </w:tc>
        <w:tc>
          <w:tcPr>
            <w:tcW w:type="dxa" w:w="3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/>
                <w:b w:val="0"/>
                <w:color w:val="0F172A"/>
                <w:sz w:val="16"/>
              </w:rPr>
              <w:t>I would use short explanations for terms like Sharpe, drawdown, PBO, and DSR.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/>
                <w:b w:val="0"/>
                <w:color w:val="0F172A"/>
                <w:sz w:val="16"/>
              </w:rPr>
              <w:t>1-5 agreement</w:t>
            </w:r>
          </w:p>
        </w:tc>
        <w:tc>
          <w:tcPr>
            <w:tcW w:type="dxa" w:w="2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/>
                <w:b w:val="0"/>
                <w:color w:val="0F172A"/>
                <w:sz w:val="16"/>
              </w:rPr>
              <w:t>Validates beginner education features.</w:t>
            </w:r>
          </w:p>
        </w:tc>
      </w:tr>
      <w:tr>
        <w:trPr>
          <w:cantSplit/>
        </w:trPr>
        <w:tc>
          <w:tcPr>
            <w:tcW w:type="dxa" w:w="1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/>
                <w:b w:val="0"/>
                <w:color w:val="0F172A"/>
                <w:sz w:val="16"/>
              </w:rPr>
              <w:t>Dashboard value</w:t>
            </w:r>
          </w:p>
        </w:tc>
        <w:tc>
          <w:tcPr>
            <w:tcW w:type="dxa" w:w="3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/>
                <w:b w:val="0"/>
                <w:color w:val="0F172A"/>
                <w:sz w:val="16"/>
              </w:rPr>
              <w:t>Rank the most important dashboard information.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/>
                <w:b w:val="0"/>
                <w:color w:val="0F172A"/>
                <w:sz w:val="16"/>
              </w:rPr>
              <w:t>Ranking</w:t>
            </w:r>
          </w:p>
        </w:tc>
        <w:tc>
          <w:tcPr>
            <w:tcW w:type="dxa" w:w="2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/>
                <w:b w:val="0"/>
                <w:color w:val="0F172A"/>
                <w:sz w:val="16"/>
              </w:rPr>
              <w:t>Prioritizes P&amp;L, positions, trades, alerts, strategy proof, and data freshness.</w:t>
            </w:r>
          </w:p>
        </w:tc>
      </w:tr>
      <w:tr>
        <w:trPr>
          <w:cantSplit/>
        </w:trPr>
        <w:tc>
          <w:tcPr>
            <w:tcW w:type="dxa" w:w="1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/>
                <w:b w:val="0"/>
                <w:color w:val="0F172A"/>
                <w:sz w:val="16"/>
              </w:rPr>
              <w:t>Open response</w:t>
            </w:r>
          </w:p>
        </w:tc>
        <w:tc>
          <w:tcPr>
            <w:tcW w:type="dxa" w:w="3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/>
                <w:b w:val="0"/>
                <w:color w:val="0F172A"/>
                <w:sz w:val="16"/>
              </w:rPr>
              <w:t>What would make you trust this product more?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/>
                <w:b w:val="0"/>
                <w:color w:val="0F172A"/>
                <w:sz w:val="16"/>
              </w:rPr>
              <w:t>Open text</w:t>
            </w:r>
          </w:p>
        </w:tc>
        <w:tc>
          <w:tcPr>
            <w:tcW w:type="dxa" w:w="2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/>
                <w:b w:val="0"/>
                <w:color w:val="0F172A"/>
                <w:sz w:val="16"/>
              </w:rPr>
              <w:t>Captures unmet trust requirements.</w:t>
            </w:r>
          </w:p>
        </w:tc>
      </w:tr>
      <w:tr>
        <w:trPr>
          <w:cantSplit/>
        </w:trPr>
        <w:tc>
          <w:tcPr>
            <w:tcW w:type="dxa" w:w="1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/>
                <w:b w:val="0"/>
                <w:color w:val="0F172A"/>
                <w:sz w:val="16"/>
              </w:rPr>
              <w:t>Open response</w:t>
            </w:r>
          </w:p>
        </w:tc>
        <w:tc>
          <w:tcPr>
            <w:tcW w:type="dxa" w:w="3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/>
                <w:b w:val="0"/>
                <w:color w:val="0F172A"/>
                <w:sz w:val="16"/>
              </w:rPr>
              <w:t>What would make you stop using this product?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/>
                <w:b w:val="0"/>
                <w:color w:val="0F172A"/>
                <w:sz w:val="16"/>
              </w:rPr>
              <w:t>Open text</w:t>
            </w:r>
          </w:p>
        </w:tc>
        <w:tc>
          <w:tcPr>
            <w:tcW w:type="dxa" w:w="2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/>
                <w:b w:val="0"/>
                <w:color w:val="0F172A"/>
                <w:sz w:val="16"/>
              </w:rPr>
              <w:t>Captures blockers and safety concerns.</w:t>
            </w:r>
          </w:p>
        </w:tc>
      </w:tr>
    </w:tbl>
    <w:p>
      <w:pPr>
        <w:pStyle w:val="Heading1"/>
      </w:pPr>
      <w:r>
        <w:t>11. Honest Rating Positioning For Submission</w:t>
      </w:r>
    </w:p>
    <w:p>
      <w:pPr>
        <w:spacing w:before="0" w:after="120" w:line="264" w:lineRule="auto"/>
      </w:pPr>
      <w:r>
        <w:rPr>
          <w:rFonts w:ascii="Calibri" w:hAnsi="Calibri"/>
          <w:color w:val="0F172A"/>
          <w:sz w:val="22"/>
        </w:rPr>
        <w:t>The current ratings should remain as recorded. A stronger funding or submission story can still be made by separating current evidence from target outcomes after the recommended improvements. The target column below is a roadmap goal, not a claimed result.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type="dxa" w:w="120"/>
      </w:tblPr>
      <w:tblGrid>
        <w:gridCol w:w="1500"/>
        <w:gridCol w:w="1800"/>
        <w:gridCol w:w="2000"/>
        <w:gridCol w:w="4060"/>
      </w:tblGrid>
      <w:tr>
        <w:trPr>
          <w:tblHeader w:val="true"/>
          <w:cantSplit/>
        </w:trPr>
        <w:tc>
          <w:tcPr>
            <w:tcW w:type="dxa" w:w="15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  <w:jc w:val="center"/>
            </w:pPr>
            <w:r>
              <w:rPr>
                <w:rFonts w:ascii="Calibri" w:hAnsi="Calibri"/>
                <w:b/>
                <w:color w:val="0F172A"/>
                <w:sz w:val="17"/>
              </w:rPr>
              <w:t>Metric</w:t>
            </w:r>
          </w:p>
        </w:tc>
        <w:tc>
          <w:tcPr>
            <w:tcW w:type="dxa" w:w="18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  <w:jc w:val="center"/>
            </w:pPr>
            <w:r>
              <w:rPr>
                <w:rFonts w:ascii="Calibri" w:hAnsi="Calibri"/>
                <w:b/>
                <w:color w:val="0F172A"/>
                <w:sz w:val="17"/>
              </w:rPr>
              <w:t>Current evidence</w:t>
            </w:r>
          </w:p>
        </w:tc>
        <w:tc>
          <w:tcPr>
            <w:tcW w:type="dxa" w:w="20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  <w:jc w:val="center"/>
            </w:pPr>
            <w:r>
              <w:rPr>
                <w:rFonts w:ascii="Calibri" w:hAnsi="Calibri"/>
                <w:b/>
                <w:color w:val="0F172A"/>
                <w:sz w:val="17"/>
              </w:rPr>
              <w:t>Target after improvements</w:t>
            </w:r>
          </w:p>
        </w:tc>
        <w:tc>
          <w:tcPr>
            <w:tcW w:type="dxa" w:w="40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  <w:jc w:val="center"/>
            </w:pPr>
            <w:r>
              <w:rPr>
                <w:rFonts w:ascii="Calibri" w:hAnsi="Calibri"/>
                <w:b/>
                <w:color w:val="0F172A"/>
                <w:sz w:val="17"/>
              </w:rPr>
              <w:t>How to earn the target</w:t>
            </w:r>
          </w:p>
        </w:tc>
      </w:tr>
      <w:tr>
        <w:trPr>
          <w:cantSplit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/>
                <w:b w:val="0"/>
                <w:color w:val="0F172A"/>
                <w:sz w:val="17"/>
              </w:rPr>
              <w:t>Ease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/>
                <w:b w:val="0"/>
                <w:color w:val="0F172A"/>
                <w:sz w:val="17"/>
              </w:rPr>
              <w:t>3.4 / 5</w:t>
            </w:r>
          </w:p>
        </w:tc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/>
                <w:b w:val="0"/>
                <w:color w:val="0F172A"/>
                <w:sz w:val="17"/>
              </w:rPr>
              <w:t>4.0+ / 5</w:t>
            </w:r>
          </w:p>
        </w:tc>
        <w:tc>
          <w:tcPr>
            <w:tcW w:type="dxa" w:w="4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/>
                <w:b w:val="0"/>
                <w:color w:val="0F172A"/>
                <w:sz w:val="17"/>
              </w:rPr>
              <w:t>Add tooltips, clearer backtest acceptance copy, and beginner-mode explanations.</w:t>
            </w:r>
          </w:p>
        </w:tc>
      </w:tr>
      <w:tr>
        <w:trPr>
          <w:cantSplit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/>
                <w:b w:val="0"/>
                <w:color w:val="0F172A"/>
                <w:sz w:val="17"/>
              </w:rPr>
              <w:t>Confidence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/>
                <w:b w:val="0"/>
                <w:color w:val="0F172A"/>
                <w:sz w:val="17"/>
              </w:rPr>
              <w:t>2.9 / 5</w:t>
            </w:r>
          </w:p>
        </w:tc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/>
                <w:b w:val="0"/>
                <w:color w:val="0F172A"/>
                <w:sz w:val="17"/>
              </w:rPr>
              <w:t>4.0+ / 5</w:t>
            </w:r>
          </w:p>
        </w:tc>
        <w:tc>
          <w:tcPr>
            <w:tcW w:type="dxa" w:w="4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/>
                <w:b w:val="0"/>
                <w:color w:val="0F172A"/>
                <w:sz w:val="17"/>
              </w:rPr>
              <w:t>Surface paper-only labels, proof panels, and report-backed strategy evidence.</w:t>
            </w:r>
          </w:p>
        </w:tc>
      </w:tr>
      <w:tr>
        <w:trPr>
          <w:cantSplit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/>
                <w:b w:val="0"/>
                <w:color w:val="0F172A"/>
                <w:sz w:val="17"/>
              </w:rPr>
              <w:t>Transparency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/>
                <w:b w:val="0"/>
                <w:color w:val="0F172A"/>
                <w:sz w:val="17"/>
              </w:rPr>
              <w:t>2.5 / 5</w:t>
            </w:r>
          </w:p>
        </w:tc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/>
                <w:b w:val="0"/>
                <w:color w:val="0F172A"/>
                <w:sz w:val="17"/>
              </w:rPr>
              <w:t>4.1+ / 5</w:t>
            </w:r>
          </w:p>
        </w:tc>
        <w:tc>
          <w:tcPr>
            <w:tcW w:type="dxa" w:w="4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/>
                <w:b w:val="0"/>
                <w:color w:val="0F172A"/>
                <w:sz w:val="17"/>
              </w:rPr>
              <w:t>Add DSR, PBO, benchmark, OOS trades, costs, report path, and dashboard freshness indicators.</w:t>
            </w:r>
          </w:p>
        </w:tc>
      </w:tr>
      <w:tr>
        <w:trPr>
          <w:cantSplit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/>
                <w:b w:val="0"/>
                <w:color w:val="0F172A"/>
                <w:sz w:val="17"/>
              </w:rPr>
              <w:t>Simulated survey appeal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/>
                <w:b w:val="0"/>
                <w:color w:val="0F172A"/>
                <w:sz w:val="17"/>
              </w:rPr>
              <w:t>4.1-4.7 / 5</w:t>
            </w:r>
          </w:p>
        </w:tc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/>
                <w:b w:val="0"/>
                <w:color w:val="0F172A"/>
                <w:sz w:val="17"/>
              </w:rPr>
              <w:t>Validate with real users</w:t>
            </w:r>
          </w:p>
        </w:tc>
        <w:tc>
          <w:tcPr>
            <w:tcW w:type="dxa" w:w="4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/>
                <w:b w:val="0"/>
                <w:color w:val="0F172A"/>
                <w:sz w:val="17"/>
              </w:rPr>
              <w:t>Field the prepared 50-person survey and compare real responses to the proxy benchmark.</w:t>
            </w:r>
          </w:p>
        </w:tc>
      </w:tr>
      <w:tr>
        <w:trPr>
          <w:cantSplit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/>
                <w:b w:val="0"/>
                <w:color w:val="0F172A"/>
                <w:sz w:val="17"/>
              </w:rPr>
              <w:t>Safety clarity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/>
                <w:b w:val="0"/>
                <w:color w:val="0F172A"/>
                <w:sz w:val="17"/>
              </w:rPr>
              <w:t>10 / 10 proxy theme</w:t>
            </w:r>
          </w:p>
        </w:tc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/>
                <w:b w:val="0"/>
                <w:color w:val="0F172A"/>
                <w:sz w:val="17"/>
              </w:rPr>
              <w:t>Maintain 10 / 10</w:t>
            </w:r>
          </w:p>
        </w:tc>
        <w:tc>
          <w:tcPr>
            <w:tcW w:type="dxa" w:w="4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/>
                <w:b w:val="0"/>
                <w:color w:val="0F172A"/>
                <w:sz w:val="17"/>
              </w:rPr>
              <w:t>Keep active-agent lock, backend fail-closed guard, and explicit no-live-order messaging.</w:t>
            </w:r>
          </w:p>
        </w:tc>
      </w:tr>
    </w:tbl>
    <w:p>
      <w:pPr>
        <w:pStyle w:val="Heading1"/>
      </w:pPr>
      <w:r>
        <w:t>Appendix: Source Artifacts</w:t>
      </w:r>
    </w:p>
    <w:p>
      <w:pPr>
        <w:pStyle w:val="ListBullet"/>
        <w:spacing w:after="80" w:line="276" w:lineRule="auto"/>
      </w:pPr>
      <w:r>
        <w:rPr>
          <w:rFonts w:ascii="Calibri" w:hAnsi="Calibri"/>
          <w:color w:val="0F172A"/>
          <w:sz w:val="22"/>
        </w:rPr>
        <w:t>docs/evaluation/solution_suitability_evaluation_2026-07-05.md</w:t>
      </w:r>
    </w:p>
    <w:p>
      <w:pPr>
        <w:pStyle w:val="ListBullet"/>
        <w:spacing w:after="80" w:line="276" w:lineRule="auto"/>
      </w:pPr>
      <w:r>
        <w:rPr>
          <w:rFonts w:ascii="Calibri" w:hAnsi="Calibri"/>
          <w:color w:val="0F172A"/>
          <w:sz w:val="22"/>
        </w:rPr>
        <w:t>docs/evaluation/solution_suitability_visual_summary_2026-07-05.md</w:t>
      </w:r>
    </w:p>
    <w:p>
      <w:pPr>
        <w:pStyle w:val="ListBullet"/>
        <w:spacing w:after="80" w:line="276" w:lineRule="auto"/>
      </w:pPr>
      <w:r>
        <w:rPr>
          <w:rFonts w:ascii="Calibri" w:hAnsi="Calibri"/>
          <w:color w:val="0F172A"/>
          <w:sz w:val="22"/>
        </w:rPr>
        <w:t>docs/evaluation/solution_suitability_metrics_2026-07-05.csv</w:t>
      </w:r>
    </w:p>
    <w:p>
      <w:pPr>
        <w:pStyle w:val="ListBullet"/>
        <w:spacing w:after="80" w:line="276" w:lineRule="auto"/>
      </w:pPr>
      <w:r>
        <w:rPr>
          <w:rFonts w:ascii="Calibri" w:hAnsi="Calibri"/>
          <w:color w:val="0F172A"/>
          <w:sz w:val="22"/>
        </w:rPr>
        <w:t>docs/evaluation/solution_suitability_charts_2026-07-05.svg</w:t>
      </w:r>
    </w:p>
    <w:p>
      <w:pPr>
        <w:pStyle w:val="ListBullet"/>
        <w:spacing w:after="80" w:line="276" w:lineRule="auto"/>
      </w:pPr>
      <w:r>
        <w:rPr>
          <w:rFonts w:ascii="Calibri" w:hAnsi="Calibri"/>
          <w:color w:val="0F172A"/>
          <w:sz w:val="22"/>
        </w:rPr>
        <w:t>docs/evaluation/simulated_proxy_survey_results_2026-07-08.csv</w:t>
      </w:r>
    </w:p>
    <w:p>
      <w:pPr>
        <w:pStyle w:val="ListBullet"/>
        <w:spacing w:after="80" w:line="276" w:lineRule="auto"/>
      </w:pPr>
      <w:r>
        <w:rPr>
          <w:rFonts w:ascii="Calibri" w:hAnsi="Calibri"/>
          <w:color w:val="0F172A"/>
          <w:sz w:val="22"/>
        </w:rPr>
        <w:t>docs/evaluation/potential_user_survey_questionnaire_2026-07-08.csv</w:t>
      </w:r>
    </w:p>
    <w:p>
      <w:pPr>
        <w:pStyle w:val="ListBullet"/>
        <w:spacing w:after="80" w:line="276" w:lineRule="auto"/>
      </w:pPr>
      <w:r>
        <w:rPr>
          <w:rFonts w:ascii="Calibri" w:hAnsi="Calibri"/>
          <w:color w:val="0F172A"/>
          <w:sz w:val="22"/>
        </w:rPr>
        <w:t>README.md, docs/submission/OALPHA_README.md, onboarding, dashboard, settings, activity, and strategy catalog evidence files.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Calibri" w:hAnsi="Calibri"/>
        <w:color w:val="64748B"/>
        <w:sz w:val="17"/>
      </w:rPr>
      <w:t>Private product planning artifact - simulated proxy data clearly labelled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/>
    <w:r>
      <w:rPr>
        <w:rFonts w:ascii="Calibri" w:hAnsi="Calibri"/>
        <w:color w:val="64748B"/>
        <w:sz w:val="18"/>
      </w:rPr>
      <w:t>O(Alpha) Evaluation Readout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280" w:lineRule="auto"/>
      <w:contextualSpacing/>
    </w:pPr>
    <w:rPr>
      <w:rFonts w:ascii="Calibri" w:hAnsi="Calibr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280" w:lineRule="auto"/>
      <w:contextualSpacing/>
    </w:pPr>
    <w:rPr>
      <w:rFonts w:ascii="Calibri" w:hAnsi="Calibr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O(Alpha) Evaluation Summary and User Testing Readout</dc:title>
  <dc:subject>Solution suitability evaluation and simulated proxy user testing readout</dc:subject>
  <dc:creator>O(Alpha)</dc:creator>
  <cp:keywords/>
  <dc:description>Private planning artifact. Simulated proxy data is clearly labelled.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