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3352E"/>
          <w:sz w:val="18"/>
          <w:szCs w:val="18"/>
        </w:rPr>
        <w:t xml:space="preserve">TEMPLATE OUTPUT — GENERATED FROM SYNTHETIC DEMO DATA</w:t>
      </w:r>
    </w:p>
    <w:p>
      <w:pPr>
        <w:spacing w:after="220"/>
      </w:pPr>
      <w:r>
        <w:rPr>
          <w:i/>
          <w:iCs/>
          <w:color w:val="48595E"/>
          <w:sz w:val="18"/>
          <w:szCs w:val="18"/>
        </w:rPr>
        <w:t xml:space="preserve">Replace cs_registry_demo.csv with your own dataset and re-run cs_stats_engine.py to regenerate this report with real figures.</w:t>
      </w:r>
    </w:p>
    <w:p>
      <w:pPr>
        <w:spacing w:after="100"/>
      </w:pPr>
      <w:r>
        <w:rPr>
          <w:b/>
          <w:bCs/>
          <w:color w:val="132126"/>
          <w:sz w:val="30"/>
          <w:szCs w:val="30"/>
        </w:rPr>
        <w:t xml:space="preserve">First-Line Vasoactive Strategy and Outcomes in Cardiogenic Shock: A Registry Analysis</w:t>
      </w:r>
    </w:p>
    <w:p>
      <w:pPr>
        <w:spacing w:after="140"/>
      </w:pPr>
      <w:r>
        <w:rPr>
          <w:i/>
          <w:iCs/>
          <w:color w:val="48595E"/>
          <w:sz w:val="20"/>
          <w:szCs w:val="20"/>
        </w:rPr>
        <w:t xml:space="preserve">Draft generated 2026-07-28 · EMC Digitals — CS Vasoactive Platform</w:t>
      </w:r>
    </w:p>
    <w:p>
      <w:pPr>
        <w:pStyle w:val="Heading1"/>
        <w:spacing w:after="140" w:before="280"/>
      </w:pPr>
      <w:r>
        <w:t xml:space="preserve">Methods</w:t>
      </w:r>
    </w:p>
    <w:p>
      <w:pPr>
        <w:spacing w:after="140"/>
      </w:pPr>
      <w:r>
        <w:t xml:space="preserve">We analysed 240 patients with cardiogenic shock stratified by initial vasoactive strategy (Norepinephrine monotherapy, Norepinephrine+Dobutamine, Norepinephrine+Levosimendan). Continuous variables are reported as mean ± SD when the Shapiro-Wilk test did not reject normality (p &gt; 0.05), and as median [IQR] otherwise. Between-group comparisons used Welch's t-test or one-way ANOVA for normally distributed continuous variables, Mann-Whitney U or Kruskal-Wallis for non-normal variables, and chi-square or Fisher's exact test for categorical variables as appropriate to expected cell counts. Time-to-event analysis used the Kaplan-Meier method with the log-rank test. A multivariable logistic regression model for 30-day mortality was adjusted for SCAI shock stage, baseline lactate, and age. Statistical significance was set at two-sided p &lt; 0.05.</w:t>
      </w:r>
    </w:p>
    <w:p>
      <w:pPr>
        <w:pStyle w:val="Heading1"/>
        <w:spacing w:after="140" w:before="280"/>
      </w:pPr>
      <w:r>
        <w:t xml:space="preserve">Results</w:t>
      </w:r>
    </w:p>
    <w:p>
      <w:pPr>
        <w:spacing w:after="140"/>
      </w:pPr>
      <w:r>
        <w:t xml:space="preserve">Baseline and outcome characteristics by first-line vasoactive strategy are shown in Table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3212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340"/>
            <w:shd w:fill="13212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Norepinephrine monotherapy
(n=56)</w:t>
            </w:r>
          </w:p>
        </w:tc>
        <w:tc>
          <w:tcPr>
            <w:tcW w:type="dxa" w:w="2340"/>
            <w:shd w:fill="13212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Norepinephrine+Dobutamine
(n=114)</w:t>
            </w:r>
          </w:p>
        </w:tc>
        <w:tc>
          <w:tcPr>
            <w:tcW w:type="dxa" w:w="2340"/>
            <w:shd w:fill="13212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Norepinephrine+Levosimendan
(n=70)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bCs/>
                <w:color w:val="132126"/>
                <w:sz w:val="20"/>
                <w:szCs w:val="20"/>
              </w:rPr>
              <w:t xml:space="preserve">age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132126"/>
                <w:sz w:val="20"/>
                <w:szCs w:val="20"/>
              </w:rPr>
              <w:t xml:space="preserve">65.8 ± 14.2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132126"/>
                <w:sz w:val="20"/>
                <w:szCs w:val="20"/>
              </w:rPr>
              <w:t xml:space="preserve">66.0 ± 11.1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132126"/>
                <w:sz w:val="20"/>
                <w:szCs w:val="20"/>
              </w:rPr>
              <w:t xml:space="preserve">66.6 ± 11.9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bCs/>
                <w:color w:val="132126"/>
                <w:sz w:val="20"/>
                <w:szCs w:val="20"/>
              </w:rPr>
              <w:t xml:space="preserve">lactate baseline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132126"/>
                <w:sz w:val="20"/>
                <w:szCs w:val="20"/>
              </w:rPr>
              <w:t xml:space="preserve">3.0 [2.2–4.0]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132126"/>
                <w:sz w:val="20"/>
                <w:szCs w:val="20"/>
              </w:rPr>
              <w:t xml:space="preserve">3.2 [2.4–4.7]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132126"/>
                <w:sz w:val="20"/>
                <w:szCs w:val="20"/>
              </w:rPr>
              <w:t xml:space="preserve">3.3 [2.2–4.5]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bCs/>
                <w:color w:val="132126"/>
                <w:sz w:val="20"/>
                <w:szCs w:val="20"/>
              </w:rPr>
              <w:t xml:space="preserve">map 1h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132126"/>
                <w:sz w:val="20"/>
                <w:szCs w:val="20"/>
              </w:rPr>
              <w:t xml:space="preserve">70.9 ± 9.5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132126"/>
                <w:sz w:val="20"/>
                <w:szCs w:val="20"/>
              </w:rPr>
              <w:t xml:space="preserve">68.5 ± 9.8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132126"/>
                <w:sz w:val="20"/>
                <w:szCs w:val="20"/>
              </w:rPr>
              <w:t xml:space="preserve">66.5 ± 10.0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bCs/>
                <w:color w:val="132126"/>
                <w:sz w:val="20"/>
                <w:szCs w:val="20"/>
              </w:rPr>
              <w:t xml:space="preserve">icu los days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132126"/>
                <w:sz w:val="20"/>
                <w:szCs w:val="20"/>
              </w:rPr>
              <w:t xml:space="preserve">4.2 [2.3–5.9]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132126"/>
                <w:sz w:val="20"/>
                <w:szCs w:val="20"/>
              </w:rPr>
              <w:t xml:space="preserve">5.0 [3.2–7.5]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132126"/>
                <w:sz w:val="20"/>
                <w:szCs w:val="20"/>
              </w:rPr>
              <w:t xml:space="preserve">4.6 [2.6–6.5]</w:t>
            </w:r>
          </w:p>
        </w:tc>
      </w:tr>
    </w:tbl>
    <w:p>
      <w:pPr>
        <w:spacing w:before="160"/>
      </w:pPr>
    </w:p>
    <w:p>
      <w:pPr>
        <w:pStyle w:val="Heading2"/>
        <w:spacing w:after="140" w:before="280"/>
      </w:pPr>
      <w:r>
        <w:t xml:space="preserve">Between-group comparisons</w:t>
      </w:r>
    </w:p>
    <w:p>
      <w:pPr>
        <w:spacing w:after="140"/>
      </w:pPr>
      <w:r>
        <w:rPr>
          <w:color w:val="48595E"/>
          <w:sz w:val="21"/>
          <w:szCs w:val="21"/>
        </w:rPr>
        <w:t xml:space="preserve">age: one-way ANOVA, p = 0.918</w:t>
      </w:r>
    </w:p>
    <w:p>
      <w:pPr>
        <w:spacing w:after="140"/>
      </w:pPr>
      <w:r>
        <w:rPr>
          <w:color w:val="48595E"/>
          <w:sz w:val="21"/>
          <w:szCs w:val="21"/>
        </w:rPr>
        <w:t xml:space="preserve">lactate baseline: Kruskal-Wallis, p = 0.252</w:t>
      </w:r>
    </w:p>
    <w:p>
      <w:pPr>
        <w:spacing w:after="140"/>
      </w:pPr>
      <w:r>
        <w:rPr>
          <w:color w:val="48595E"/>
          <w:sz w:val="21"/>
          <w:szCs w:val="21"/>
        </w:rPr>
        <w:t xml:space="preserve">map 1h: one-way ANOVA, p = 0.041 *</w:t>
      </w:r>
    </w:p>
    <w:p>
      <w:pPr>
        <w:spacing w:after="140"/>
      </w:pPr>
      <w:r>
        <w:rPr>
          <w:color w:val="48595E"/>
          <w:sz w:val="21"/>
          <w:szCs w:val="21"/>
        </w:rPr>
        <w:t xml:space="preserve">icu los days: Kruskal-Wallis, p = 0.067</w:t>
      </w:r>
    </w:p>
    <w:p>
      <w:pPr>
        <w:spacing w:after="140"/>
      </w:pPr>
      <w:r>
        <w:rPr>
          <w:color w:val="48595E"/>
          <w:sz w:val="21"/>
          <w:szCs w:val="21"/>
        </w:rPr>
        <w:t xml:space="preserve">sex: Chi-square, p = 0.054</w:t>
      </w:r>
    </w:p>
    <w:p>
      <w:pPr>
        <w:spacing w:after="140"/>
      </w:pPr>
      <w:r>
        <w:rPr>
          <w:color w:val="48595E"/>
          <w:sz w:val="21"/>
          <w:szCs w:val="21"/>
        </w:rPr>
        <w:t xml:space="preserve">scai stage: Chi-square, p = 0.777</w:t>
      </w:r>
    </w:p>
    <w:p>
      <w:pPr>
        <w:spacing w:after="140"/>
      </w:pPr>
      <w:r>
        <w:rPr>
          <w:color w:val="48595E"/>
          <w:sz w:val="21"/>
          <w:szCs w:val="21"/>
        </w:rPr>
        <w:t xml:space="preserve">mortality 30d: Chi-square, p = 0.040 *</w:t>
      </w:r>
    </w:p>
    <w:p>
      <w:pPr>
        <w:pStyle w:val="Heading2"/>
        <w:spacing w:after="140" w:before="280"/>
      </w:pPr>
      <w:r>
        <w:t xml:space="preserve">Time-to-event analysis</w:t>
      </w:r>
    </w:p>
    <w:p>
      <w:pPr>
        <w:spacing w:after="140"/>
      </w:pPr>
      <w:r>
        <w:rPr>
          <w:color w:val="48595E"/>
          <w:sz w:val="21"/>
          <w:szCs w:val="21"/>
        </w:rPr>
        <w:t xml:space="preserve">Log-rank test across 3 groups: p = 0.012.</w:t>
      </w:r>
    </w:p>
    <w:p>
      <w:pPr>
        <w:spacing w:after="140"/>
      </w:pPr>
      <w:r>
        <w:rPr>
          <w:color w:val="48595E"/>
          <w:sz w:val="21"/>
          <w:szCs w:val="21"/>
        </w:rPr>
        <w:t xml:space="preserve">Estimated survival at last follow-up — Norepinephrine monotherapy: 18.5%  |  Norepinephrine+Dobutamine: 22.5%  |  Norepinephrine+Levosimendan: 27.6%</w:t>
      </w:r>
    </w:p>
    <w:p>
      <w:r>
        <w:drawing>
          <wp:inline distT="0" distB="0" distL="0" distR="0">
            <wp:extent cx="4572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280"/>
      </w:pPr>
      <w:r>
        <w:t xml:space="preserve">Multivariable logistic regression — 30-day mortality</w:t>
      </w:r>
    </w:p>
    <w:p>
      <w:pPr>
        <w:spacing w:after="140"/>
      </w:pPr>
      <w:r>
        <w:rPr>
          <w:color w:val="48595E"/>
          <w:sz w:val="21"/>
          <w:szCs w:val="21"/>
        </w:rPr>
        <w:t xml:space="preserve">n = 240, pseudo-R² = 0.065. Adjusted odds ratios below; OR &gt; 1 indicates higher odds of 30-day mortality.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3212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Covariate</w:t>
            </w:r>
          </w:p>
        </w:tc>
        <w:tc>
          <w:tcPr>
            <w:tcW w:type="dxa" w:w="2340"/>
            <w:shd w:fill="13212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</w:t>
            </w:r>
          </w:p>
        </w:tc>
        <w:tc>
          <w:tcPr>
            <w:tcW w:type="dxa" w:w="2340"/>
            <w:shd w:fill="13212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95% CI</w:t>
            </w:r>
          </w:p>
        </w:tc>
        <w:tc>
          <w:tcPr>
            <w:tcW w:type="dxa" w:w="2340"/>
            <w:shd w:fill="13212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  <w:color w:val="132126"/>
                <w:sz w:val="20"/>
                <w:szCs w:val="20"/>
              </w:rPr>
              <w:t xml:space="preserve">lactate_baseline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132126"/>
                <w:sz w:val="20"/>
                <w:szCs w:val="20"/>
              </w:rPr>
              <w:t xml:space="preserve">1.13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132126"/>
                <w:sz w:val="20"/>
                <w:szCs w:val="20"/>
              </w:rPr>
              <w:t xml:space="preserve">0.97–1.31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132126"/>
                <w:sz w:val="20"/>
                <w:szCs w:val="20"/>
              </w:rPr>
              <w:t xml:space="preserve">0.114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  <w:color w:val="132126"/>
                <w:sz w:val="20"/>
                <w:szCs w:val="20"/>
              </w:rPr>
              <w:t xml:space="preserve">age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132126"/>
                <w:sz w:val="20"/>
                <w:szCs w:val="20"/>
              </w:rPr>
              <w:t xml:space="preserve">1.01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132126"/>
                <w:sz w:val="20"/>
                <w:szCs w:val="20"/>
              </w:rPr>
              <w:t xml:space="preserve">0.98–1.03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132126"/>
                <w:sz w:val="20"/>
                <w:szCs w:val="20"/>
              </w:rPr>
              <w:t xml:space="preserve">0.589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  <w:color w:val="132126"/>
                <w:sz w:val="20"/>
                <w:szCs w:val="20"/>
              </w:rPr>
              <w:t xml:space="preserve">scai_stage_D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132126"/>
                <w:sz w:val="20"/>
                <w:szCs w:val="20"/>
              </w:rPr>
              <w:t xml:space="preserve">2.73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132126"/>
                <w:sz w:val="20"/>
                <w:szCs w:val="20"/>
              </w:rPr>
              <w:t xml:space="preserve">1.51–4.92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132126"/>
                <w:sz w:val="20"/>
                <w:szCs w:val="20"/>
              </w:rPr>
              <w:t xml:space="preserve">0.001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  <w:color w:val="132126"/>
                <w:sz w:val="20"/>
                <w:szCs w:val="20"/>
              </w:rPr>
              <w:t xml:space="preserve">scai_stage_E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132126"/>
                <w:sz w:val="20"/>
                <w:szCs w:val="20"/>
              </w:rPr>
              <w:t xml:space="preserve">3.96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132126"/>
                <w:sz w:val="20"/>
                <w:szCs w:val="20"/>
              </w:rPr>
              <w:t xml:space="preserve">1.81–8.68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132126"/>
                <w:sz w:val="20"/>
                <w:szCs w:val="20"/>
              </w:rPr>
              <w:t xml:space="preserve">0.001</w:t>
            </w:r>
          </w:p>
        </w:tc>
      </w:tr>
    </w:tbl>
    <w:p>
      <w:pPr>
        <w:pStyle w:val="Heading1"/>
        <w:spacing w:after="140" w:before="280"/>
      </w:pPr>
      <w:r>
        <w:t xml:space="preserve">Discussion</w:t>
      </w:r>
    </w:p>
    <w:p>
      <w:pPr>
        <w:spacing w:after="140"/>
      </w:pPr>
      <w:r>
        <w:rPr>
          <w:i/>
          <w:iCs/>
          <w:color w:val="48595E"/>
        </w:rPr>
        <w:t xml:space="preserve">[Populate after reviewing the computed results above against the study's clinical context and the existing literature — e.g. Riccardi et al. Eur J Heart Fail 2024;26:411–431 for the pharmacological rationale and prior trial evidence (SOAP-II, OptimaCC, DOREMI, LIDO/SURVIVE) to compare against.]</w:t>
      </w:r>
    </w:p>
    <w:p>
      <w:pPr>
        <w:pStyle w:val="Heading1"/>
        <w:spacing w:after="140" w:before="280"/>
      </w:pPr>
      <w:r>
        <w:t xml:space="preserve">Limitations</w:t>
      </w:r>
    </w:p>
    <w:p>
      <w:pPr>
        <w:spacing w:after="140"/>
      </w:pPr>
      <w:r>
        <w:rPr>
          <w:i/>
          <w:iCs/>
          <w:color w:val="48595E"/>
        </w:rPr>
        <w:t xml:space="preserve">[Registry/observational design — confounding by indication is expected (sicker patients more likely to receive combination therapy); document data completeness, missingness handling, and any propensity-adjustment performed.]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1e647ae8293cfe7ae8fb4188cf35ec1c0a1f4c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2026-07-28T06:47:47.269Z</dcterms:created>
  <dcterms:modified xsi:type="dcterms:W3CDTF">2026-07-28T06:47:47.269Z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