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6F54"/>
          <w:sz w:val="64"/>
          <w:szCs w:val="64"/>
        </w:rPr>
        <w:t xml:space="preserve">NamastePOS</w:t>
      </w:r>
    </w:p>
    <w:p>
      <w:pPr>
        <w:spacing w:after="40"/>
        <w:jc w:val="center"/>
      </w:pPr>
      <w:r>
        <w:rPr>
          <w:color w:val="222222"/>
          <w:sz w:val="30"/>
          <w:szCs w:val="30"/>
        </w:rPr>
        <w:t xml:space="preserve">Product, Growth &amp; Technical Strategy</w:t>
      </w:r>
    </w:p>
    <w:p>
      <w:pPr>
        <w:spacing w:after="40"/>
        <w:jc w:val="center"/>
      </w:pPr>
      <w:r>
        <w:rPr>
          <w:i/>
          <w:iCs/>
          <w:color w:val="C0392B"/>
          <w:sz w:val="24"/>
          <w:szCs w:val="24"/>
        </w:rPr>
        <w:t xml:space="preserve">Target: 1,000 paying restaurants in 6 months</w:t>
      </w:r>
    </w:p>
    <w:p>
      <w:pPr>
        <w:spacing w:before="200"/>
        <w:jc w:val="center"/>
      </w:pPr>
      <w:r>
        <w:rPr>
          <w:color w:val="5A5A5A"/>
          <w:sz w:val="20"/>
          <w:szCs w:val="20"/>
        </w:rPr>
        <w:t xml:space="preserve">Prepared 26 August 2026  ·  Founder: Shivhari</w:t>
      </w:r>
    </w:p>
    <w:p>
      <w:r>
        <w:br w:type="page"/>
      </w:r>
    </w:p>
    <w:p>
      <w:pPr>
        <w:pStyle w:val="Heading1"/>
        <w:spacing w:after="120" w:before="260"/>
      </w:pPr>
      <w:r>
        <w:rPr>
          <w:b/>
          <w:bCs/>
          <w:color w:val="1F6F54"/>
        </w:rPr>
        <w:t xml:space="preserve">1. Executive summary</w:t>
      </w:r>
    </w:p>
    <w:p>
      <w:pPr>
        <w:spacing w:after="100"/>
      </w:pPr>
      <w:r>
        <w:rPr>
          <w:sz w:val="21"/>
          <w:szCs w:val="21"/>
        </w:rPr>
        <w:t xml:space="preserve">NamastePOS is a live, multi-tenant restaurant-POS SaaS (web dashboard + super-admin + Flutter app), already running in production on Render, Neon and Cloudflare with a hardened, well-tested backend. The product is </w:t>
      </w:r>
      <w:r>
        <w:rPr>
          <w:b/>
          <w:bCs/>
          <w:sz w:val="21"/>
          <w:szCs w:val="21"/>
        </w:rPr>
        <w:t xml:space="preserve">technically ready enough to sell</w:t>
      </w:r>
      <w:r>
        <w:rPr>
          <w:sz w:val="21"/>
          <w:szCs w:val="21"/>
        </w:rPr>
        <w:t xml:space="preserve">. The gating factor for growth is not code — it is distribution, billing readiness and churn control.</w:t>
      </w:r>
    </w:p>
    <w:p>
      <w:pPr>
        <w:spacing w:after="100"/>
      </w:pPr>
      <w:r>
        <w:rPr>
          <w:sz w:val="21"/>
          <w:szCs w:val="21"/>
        </w:rPr>
        <w:t xml:space="preserve">The 6-month target — 1,000 paying restaurants — is </w:t>
      </w:r>
      <w:r>
        <w:rPr>
          <w:b/>
          <w:bCs/>
          <w:color w:val="C0392B"/>
          <w:sz w:val="21"/>
          <w:szCs w:val="21"/>
        </w:rPr>
        <w:t xml:space="preserve">very aggressive for a solo founder</w:t>
      </w:r>
      <w:r>
        <w:rPr>
          <w:sz w:val="21"/>
          <w:szCs w:val="21"/>
        </w:rPr>
        <w:t xml:space="preserve"> in a market where the incumbent, Petpooja, already serves 100,000+ outlets with a large field/reseller army. It is achievable only with a channel-led (reseller) go-to-market, a self-serve free trial, sharp undercut pricing, and ruthless onboarding to keep SMB churn under control. This document lays out the realistic path, the numbers behind it, and the exact work to do first.</w:t>
      </w:r>
    </w:p>
    <w:p>
      <w:pPr>
        <w:spacing w:after="100"/>
      </w:pPr>
      <w:r>
        <w:rPr>
          <w:b/>
          <w:bCs/>
          <w:sz w:val="21"/>
          <w:szCs w:val="21"/>
        </w:rPr>
        <w:t xml:space="preserve">Bottom line: </w:t>
      </w:r>
      <w:r>
        <w:rPr>
          <w:sz w:val="21"/>
          <w:szCs w:val="21"/>
        </w:rPr>
        <w:t xml:space="preserve">base case ≈ 400–600 paid in 6 months; stretch case 1,000 is reachable if the reseller channel and paid ads both fire and trial→paid conversion holds above 25%. Two code fixes (billing free-activation guard, money-in-paise) must ship before you take real money at scale.</w:t>
      </w:r>
    </w:p>
    <w:p>
      <w:pPr>
        <w:pStyle w:val="Heading1"/>
        <w:spacing w:after="120" w:before="260"/>
      </w:pPr>
      <w:r>
        <w:rPr>
          <w:b/>
          <w:bCs/>
          <w:color w:val="1F6F54"/>
        </w:rPr>
        <w:t xml:space="preserve">2. Where NamastePOS stands today</w:t>
      </w:r>
    </w:p>
    <w:p>
      <w:pPr>
        <w:pStyle w:val="Heading2"/>
        <w:spacing w:after="80" w:before="180"/>
      </w:pPr>
      <w:r>
        <w:rPr>
          <w:b/>
          <w:bCs/>
          <w:color w:val="222222"/>
        </w:rPr>
        <w:t xml:space="preserve">Shipped and live</w:t>
      </w:r>
    </w:p>
    <w:p>
      <w:pPr>
        <w:pStyle w:val="ListParagraph"/>
        <w:numPr>
          <w:ilvl w:val="0"/>
          <w:numId w:val="2"/>
        </w:numPr>
        <w:spacing w:after="60"/>
      </w:pPr>
      <w:r>
        <w:rPr>
          <w:sz w:val="21"/>
          <w:szCs w:val="21"/>
        </w:rPr>
        <w:t xml:space="preserve">Full-stack production deployment on namastepos.in (API, dashboard, admin, landing) with push-to-main auto-deploy.</w:t>
      </w:r>
    </w:p>
    <w:p>
      <w:pPr>
        <w:pStyle w:val="ListParagraph"/>
        <w:numPr>
          <w:ilvl w:val="0"/>
          <w:numId w:val="2"/>
        </w:numPr>
        <w:spacing w:after="60"/>
      </w:pPr>
      <w:r>
        <w:rPr>
          <w:sz w:val="21"/>
          <w:szCs w:val="21"/>
        </w:rPr>
        <w:t xml:space="preserve">Core POS: menu, orders/KOT, tables, captain, KDS, billing, tax invoices (GST), reservations, QR ordering.</w:t>
      </w:r>
    </w:p>
    <w:p>
      <w:pPr>
        <w:pStyle w:val="ListParagraph"/>
        <w:numPr>
          <w:ilvl w:val="0"/>
          <w:numId w:val="2"/>
        </w:numPr>
        <w:spacing w:after="60"/>
      </w:pPr>
      <w:r>
        <w:rPr>
          <w:sz w:val="21"/>
          <w:szCs w:val="21"/>
        </w:rPr>
        <w:t xml:space="preserve">Revenue features: plans + addons gating, Razorpay subscriptions, wallet/gift-card, split payments, memberships, loyalty, coupons (create + apply-at-checkout).</w:t>
      </w:r>
    </w:p>
    <w:p>
      <w:pPr>
        <w:pStyle w:val="ListParagraph"/>
        <w:numPr>
          <w:ilvl w:val="0"/>
          <w:numId w:val="2"/>
        </w:numPr>
        <w:spacing w:after="60"/>
      </w:pPr>
      <w:r>
        <w:rPr>
          <w:sz w:val="21"/>
          <w:szCs w:val="21"/>
        </w:rPr>
        <w:t xml:space="preserve">Mobile app on Android + iOS with offline-first order outbox, staff phone+PIN login (works across multiple restaurants), and Android push notifications (FCM) wired this session.</w:t>
      </w:r>
    </w:p>
    <w:p>
      <w:pPr>
        <w:pStyle w:val="ListParagraph"/>
        <w:numPr>
          <w:ilvl w:val="0"/>
          <w:numId w:val="2"/>
        </w:numPr>
        <w:spacing w:after="60"/>
      </w:pPr>
      <w:r>
        <w:rPr>
          <w:sz w:val="21"/>
          <w:szCs w:val="21"/>
        </w:rPr>
        <w:t xml:space="preserve">Reliability: Cloudflare Worker + UptimeRobot keep-alive so the API never cold-starts; 234 backend tests green.</w:t>
      </w:r>
    </w:p>
    <w:p>
      <w:pPr>
        <w:pStyle w:val="Heading2"/>
        <w:spacing w:after="80" w:before="180"/>
      </w:pPr>
      <w:r>
        <w:rPr>
          <w:b/>
          <w:bCs/>
          <w:color w:val="222222"/>
        </w:rPr>
        <w:t xml:space="preserve">Pending — nothing code-only remains; these need your external accounts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800"/>
      </w:tblGrid>
      <w:tr>
        <w:trPr>
          <w:tblHeader/>
        </w:trPr>
        <w:tc>
          <w:tcPr>
            <w:tcW w:type="dxa" w:w="3600"/>
            <w:shd w:fill="1F6F54" w:val="clear"/>
            <w:tcMar>
              <w:top w:type="dxa" w:w="60"/>
              <w:left w:type="dxa" w:w="90"/>
              <w:bottom w:type="dxa" w:w="60"/>
              <w:right w:type="dxa" w:w="90"/>
            </w:tcMar>
          </w:tcPr>
          <w:p>
            <w:r>
              <w:rPr>
                <w:b/>
                <w:bCs/>
                <w:color w:val="FFFFFF"/>
                <w:sz w:val="19"/>
                <w:szCs w:val="19"/>
              </w:rPr>
              <w:t xml:space="preserve">Item</w:t>
            </w:r>
          </w:p>
        </w:tc>
        <w:tc>
          <w:tcPr>
            <w:tcW w:type="dxa" w:w="4200"/>
            <w:shd w:fill="1F6F54" w:val="clear"/>
            <w:tcMar>
              <w:top w:type="dxa" w:w="60"/>
              <w:left w:type="dxa" w:w="90"/>
              <w:bottom w:type="dxa" w:w="60"/>
              <w:right w:type="dxa" w:w="90"/>
            </w:tcMar>
          </w:tcPr>
          <w:p>
            <w:r>
              <w:rPr>
                <w:b/>
                <w:bCs/>
                <w:color w:val="FFFFFF"/>
                <w:sz w:val="19"/>
                <w:szCs w:val="19"/>
              </w:rPr>
              <w:t xml:space="preserve">Blocked on</w:t>
            </w:r>
          </w:p>
        </w:tc>
        <w:tc>
          <w:tcPr>
            <w:tcW w:type="dxa" w:w="1800"/>
            <w:shd w:fill="1F6F54" w:val="clear"/>
            <w:tcMar>
              <w:top w:type="dxa" w:w="60"/>
              <w:left w:type="dxa" w:w="90"/>
              <w:bottom w:type="dxa" w:w="60"/>
              <w:right w:type="dxa" w:w="90"/>
            </w:tcMar>
          </w:tcPr>
          <w:p>
            <w:r>
              <w:rPr>
                <w:b/>
                <w:bCs/>
                <w:color w:val="FFFFFF"/>
                <w:sz w:val="19"/>
                <w:szCs w:val="19"/>
              </w:rPr>
              <w:t xml:space="preserve">Priority</w:t>
            </w:r>
          </w:p>
        </w:tc>
      </w:tr>
      <w:tr>
        <w:tc>
          <w:tcPr>
            <w:tcW w:type="dxa" w:w="3600"/>
            <w:shd w:fill="EAF3EF" w:val="clear"/>
            <w:tcMar>
              <w:top w:type="dxa" w:w="50"/>
              <w:left w:type="dxa" w:w="90"/>
              <w:bottom w:type="dxa" w:w="50"/>
              <w:right w:type="dxa" w:w="90"/>
            </w:tcMar>
          </w:tcPr>
          <w:p>
            <w:r>
              <w:rPr>
                <w:sz w:val="18"/>
                <w:szCs w:val="18"/>
              </w:rPr>
              <w:t xml:space="preserve">iOS push notifications (APNs)</w:t>
            </w:r>
          </w:p>
        </w:tc>
        <w:tc>
          <w:tcPr>
            <w:tcW w:type="dxa" w:w="4200"/>
            <w:shd w:fill="EAF3EF" w:val="clear"/>
            <w:tcMar>
              <w:top w:type="dxa" w:w="50"/>
              <w:left w:type="dxa" w:w="90"/>
              <w:bottom w:type="dxa" w:w="50"/>
              <w:right w:type="dxa" w:w="90"/>
            </w:tcMar>
          </w:tcPr>
          <w:p>
            <w:r>
              <w:rPr>
                <w:sz w:val="18"/>
                <w:szCs w:val="18"/>
              </w:rPr>
              <w:t xml:space="preserve">Paid Apple Developer Program ($99/yr)</w:t>
            </w:r>
          </w:p>
        </w:tc>
        <w:tc>
          <w:tcPr>
            <w:tcW w:type="dxa" w:w="1800"/>
            <w:shd w:fill="EAF3EF" w:val="clear"/>
            <w:tcMar>
              <w:top w:type="dxa" w:w="50"/>
              <w:left w:type="dxa" w:w="90"/>
              <w:bottom w:type="dxa" w:w="50"/>
              <w:right w:type="dxa" w:w="90"/>
            </w:tcMar>
          </w:tcPr>
          <w:p>
            <w:r>
              <w:rPr>
                <w:sz w:val="18"/>
                <w:szCs w:val="18"/>
              </w:rPr>
              <w:t xml:space="preserve">Medium</w:t>
            </w:r>
          </w:p>
        </w:tc>
      </w:tr>
      <w:tr>
        <w:tc>
          <w:tcPr>
            <w:tcW w:type="dxa" w:w="3600"/>
            <w:shd w:fill="FFFFFF" w:val="clear"/>
            <w:tcMar>
              <w:top w:type="dxa" w:w="50"/>
              <w:left w:type="dxa" w:w="90"/>
              <w:bottom w:type="dxa" w:w="50"/>
              <w:right w:type="dxa" w:w="90"/>
            </w:tcMar>
          </w:tcPr>
          <w:p>
            <w:r>
              <w:rPr>
                <w:sz w:val="18"/>
                <w:szCs w:val="18"/>
              </w:rPr>
              <w:t xml:space="preserve">SMS (OTP login, order alerts)</w:t>
            </w:r>
          </w:p>
        </w:tc>
        <w:tc>
          <w:tcPr>
            <w:tcW w:type="dxa" w:w="4200"/>
            <w:shd w:fill="FFFFFF" w:val="clear"/>
            <w:tcMar>
              <w:top w:type="dxa" w:w="50"/>
              <w:left w:type="dxa" w:w="90"/>
              <w:bottom w:type="dxa" w:w="50"/>
              <w:right w:type="dxa" w:w="90"/>
            </w:tcMar>
          </w:tcPr>
          <w:p>
            <w:r>
              <w:rPr>
                <w:sz w:val="18"/>
                <w:szCs w:val="18"/>
              </w:rPr>
              <w:t xml:space="preserve">MSG91 account + DLT sender approval</w:t>
            </w:r>
          </w:p>
        </w:tc>
        <w:tc>
          <w:tcPr>
            <w:tcW w:type="dxa" w:w="1800"/>
            <w:shd w:fill="FFFFFF" w:val="clear"/>
            <w:tcMar>
              <w:top w:type="dxa" w:w="50"/>
              <w:left w:type="dxa" w:w="90"/>
              <w:bottom w:type="dxa" w:w="50"/>
              <w:right w:type="dxa" w:w="90"/>
            </w:tcMar>
          </w:tcPr>
          <w:p>
            <w:r>
              <w:rPr>
                <w:sz w:val="18"/>
                <w:szCs w:val="18"/>
              </w:rPr>
              <w:t xml:space="preserve">High (OTP login)</w:t>
            </w:r>
          </w:p>
        </w:tc>
      </w:tr>
      <w:tr>
        <w:tc>
          <w:tcPr>
            <w:tcW w:type="dxa" w:w="3600"/>
            <w:shd w:fill="EAF3EF" w:val="clear"/>
            <w:tcMar>
              <w:top w:type="dxa" w:w="50"/>
              <w:left w:type="dxa" w:w="90"/>
              <w:bottom w:type="dxa" w:w="50"/>
              <w:right w:type="dxa" w:w="90"/>
            </w:tcMar>
          </w:tcPr>
          <w:p>
            <w:r>
              <w:rPr>
                <w:sz w:val="18"/>
                <w:szCs w:val="18"/>
              </w:rPr>
              <w:t xml:space="preserve">WhatsApp notifications</w:t>
            </w:r>
          </w:p>
        </w:tc>
        <w:tc>
          <w:tcPr>
            <w:tcW w:type="dxa" w:w="4200"/>
            <w:shd w:fill="EAF3EF" w:val="clear"/>
            <w:tcMar>
              <w:top w:type="dxa" w:w="50"/>
              <w:left w:type="dxa" w:w="90"/>
              <w:bottom w:type="dxa" w:w="50"/>
              <w:right w:type="dxa" w:w="90"/>
            </w:tcMar>
          </w:tcPr>
          <w:p>
            <w:r>
              <w:rPr>
                <w:sz w:val="18"/>
                <w:szCs w:val="18"/>
              </w:rPr>
              <w:t xml:space="preserve">Meta Cloud API (or Twilio) verification</w:t>
            </w:r>
          </w:p>
        </w:tc>
        <w:tc>
          <w:tcPr>
            <w:tcW w:type="dxa" w:w="1800"/>
            <w:shd w:fill="EAF3EF" w:val="clear"/>
            <w:tcMar>
              <w:top w:type="dxa" w:w="50"/>
              <w:left w:type="dxa" w:w="90"/>
              <w:bottom w:type="dxa" w:w="50"/>
              <w:right w:type="dxa" w:w="90"/>
            </w:tcMar>
          </w:tcPr>
          <w:p>
            <w:r>
              <w:rPr>
                <w:sz w:val="18"/>
                <w:szCs w:val="18"/>
              </w:rPr>
              <w:t xml:space="preserve">Medium</w:t>
            </w:r>
          </w:p>
        </w:tc>
      </w:tr>
      <w:tr>
        <w:tc>
          <w:tcPr>
            <w:tcW w:type="dxa" w:w="3600"/>
            <w:shd w:fill="FFFFFF" w:val="clear"/>
            <w:tcMar>
              <w:top w:type="dxa" w:w="50"/>
              <w:left w:type="dxa" w:w="90"/>
              <w:bottom w:type="dxa" w:w="50"/>
              <w:right w:type="dxa" w:w="90"/>
            </w:tcMar>
          </w:tcPr>
          <w:p>
            <w:r>
              <w:rPr>
                <w:sz w:val="18"/>
                <w:szCs w:val="18"/>
              </w:rPr>
              <w:t xml:space="preserve">Google Maps / Places reviews</w:t>
            </w:r>
          </w:p>
        </w:tc>
        <w:tc>
          <w:tcPr>
            <w:tcW w:type="dxa" w:w="4200"/>
            <w:shd w:fill="FFFFFF" w:val="clear"/>
            <w:tcMar>
              <w:top w:type="dxa" w:w="50"/>
              <w:left w:type="dxa" w:w="90"/>
              <w:bottom w:type="dxa" w:w="50"/>
              <w:right w:type="dxa" w:w="90"/>
            </w:tcMar>
          </w:tcPr>
          <w:p>
            <w:r>
              <w:rPr>
                <w:sz w:val="18"/>
                <w:szCs w:val="18"/>
              </w:rPr>
              <w:t xml:space="preserve">Google Cloud billing card</w:t>
            </w:r>
          </w:p>
        </w:tc>
        <w:tc>
          <w:tcPr>
            <w:tcW w:type="dxa" w:w="1800"/>
            <w:shd w:fill="FFFFFF" w:val="clear"/>
            <w:tcMar>
              <w:top w:type="dxa" w:w="50"/>
              <w:left w:type="dxa" w:w="90"/>
              <w:bottom w:type="dxa" w:w="50"/>
              <w:right w:type="dxa" w:w="90"/>
            </w:tcMar>
          </w:tcPr>
          <w:p>
            <w:r>
              <w:rPr>
                <w:sz w:val="18"/>
                <w:szCs w:val="18"/>
              </w:rPr>
              <w:t xml:space="preserve">Low</w:t>
            </w:r>
          </w:p>
        </w:tc>
      </w:tr>
      <w:tr>
        <w:tc>
          <w:tcPr>
            <w:tcW w:type="dxa" w:w="3600"/>
            <w:shd w:fill="EAF3EF" w:val="clear"/>
            <w:tcMar>
              <w:top w:type="dxa" w:w="50"/>
              <w:left w:type="dxa" w:w="90"/>
              <w:bottom w:type="dxa" w:w="50"/>
              <w:right w:type="dxa" w:w="90"/>
            </w:tcMar>
          </w:tcPr>
          <w:p>
            <w:r>
              <w:rPr>
                <w:sz w:val="18"/>
                <w:szCs w:val="18"/>
              </w:rPr>
              <w:t xml:space="preserve">Razorpay live payments</w:t>
            </w:r>
          </w:p>
        </w:tc>
        <w:tc>
          <w:tcPr>
            <w:tcW w:type="dxa" w:w="4200"/>
            <w:shd w:fill="EAF3EF" w:val="clear"/>
            <w:tcMar>
              <w:top w:type="dxa" w:w="50"/>
              <w:left w:type="dxa" w:w="90"/>
              <w:bottom w:type="dxa" w:w="50"/>
              <w:right w:type="dxa" w:w="90"/>
            </w:tcMar>
          </w:tcPr>
          <w:p>
            <w:r>
              <w:rPr>
                <w:sz w:val="18"/>
                <w:szCs w:val="18"/>
              </w:rPr>
              <w:t xml:space="preserve">Razorpay KYC completion</w:t>
            </w:r>
          </w:p>
        </w:tc>
        <w:tc>
          <w:tcPr>
            <w:tcW w:type="dxa" w:w="1800"/>
            <w:shd w:fill="EAF3EF" w:val="clear"/>
            <w:tcMar>
              <w:top w:type="dxa" w:w="50"/>
              <w:left w:type="dxa" w:w="90"/>
              <w:bottom w:type="dxa" w:w="50"/>
              <w:right w:type="dxa" w:w="90"/>
            </w:tcMar>
          </w:tcPr>
          <w:p>
            <w:r>
              <w:rPr>
                <w:sz w:val="18"/>
                <w:szCs w:val="18"/>
              </w:rPr>
              <w:t xml:space="preserve">Critical for revenue</w:t>
            </w:r>
          </w:p>
        </w:tc>
      </w:tr>
    </w:tbl>
    <w:p>
      <w:pPr>
        <w:spacing w:after="100"/>
      </w:pPr>
      <w:r>
        <w:rPr>
          <w:i/>
          <w:iCs/>
          <w:color w:val="5A5A5A"/>
          <w:sz w:val="21"/>
          <w:szCs w:val="21"/>
        </w:rPr>
        <w:t xml:space="preserve">Everything else on the mobile/web backlog that could be built without your accounts is done. </w:t>
      </w:r>
      <w:r>
        <w:rPr>
          <w:i/>
          <w:iCs/>
          <w:color w:val="C0392B"/>
          <w:sz w:val="21"/>
          <w:szCs w:val="21"/>
        </w:rPr>
        <w:t xml:space="preserve">The one revenue-critical blocker is Razorpay KYC — without it you cannot collect money, so it is the single most important non-engineering task.</w:t>
      </w:r>
    </w:p>
    <w:p>
      <w:pPr>
        <w:pStyle w:val="Heading1"/>
        <w:spacing w:after="120" w:before="260"/>
      </w:pPr>
      <w:r>
        <w:rPr>
          <w:b/>
          <w:bCs/>
          <w:color w:val="1F6F54"/>
        </w:rPr>
        <w:t xml:space="preserve">3. Codebase review (engineering)</w:t>
      </w:r>
    </w:p>
    <w:p>
      <w:pPr>
        <w:spacing w:after="100"/>
      </w:pPr>
      <w:r>
        <w:rPr>
          <w:sz w:val="21"/>
          <w:szCs w:val="21"/>
        </w:rPr>
        <w:t xml:space="preserve">Independent review verdict: </w:t>
      </w:r>
      <w:r>
        <w:rPr>
          <w:b/>
          <w:bCs/>
          <w:sz w:val="21"/>
          <w:szCs w:val="21"/>
        </w:rPr>
        <w:t xml:space="preserve">a mature, security-conscious codebase that has been through multiple hardening passes. </w:t>
      </w:r>
      <w:r>
        <w:rPr>
          <w:sz w:val="21"/>
          <w:szCs w:val="21"/>
        </w:rPr>
        <w:t xml:space="preserve">No critical tenant-isolation or injection bug found. Health scores: Backend 8/10 · Admin 7/10 · Dashboard 6.5/10 · Flutter 6/10.</w:t>
      </w:r>
    </w:p>
    <w:p>
      <w:pPr>
        <w:pStyle w:val="Heading2"/>
        <w:spacing w:after="80" w:before="180"/>
      </w:pPr>
      <w:r>
        <w:rPr>
          <w:b/>
          <w:bCs/>
          <w:color w:val="222222"/>
        </w:rPr>
        <w:t xml:space="preserve">Must-fix before scaling revenue</w:t>
      </w:r>
    </w:p>
    <w:p>
      <w:pPr>
        <w:pStyle w:val="ListParagraph"/>
        <w:numPr>
          <w:ilvl w:val="0"/>
          <w:numId w:val="3"/>
        </w:numPr>
        <w:spacing w:after="60"/>
      </w:pPr>
      <w:r>
        <w:rPr>
          <w:b/>
          <w:bCs/>
          <w:sz w:val="21"/>
          <w:szCs w:val="21"/>
        </w:rPr>
        <w:t xml:space="preserve">Billing free-activation fallback: </w:t>
      </w:r>
      <w:r>
        <w:rPr>
          <w:sz w:val="21"/>
          <w:szCs w:val="21"/>
        </w:rPr>
        <w:t xml:space="preserve">if the Razorpay key isn’t "rzp_live_" or the webhook secret is missing, paid upgrades activate free. A prod key rotation/misconfig would give every upgrade away. Fix: hard-fail in production instead of falling back.</w:t>
      </w:r>
    </w:p>
    <w:p>
      <w:pPr>
        <w:pStyle w:val="ListParagraph"/>
        <w:numPr>
          <w:ilvl w:val="0"/>
          <w:numId w:val="3"/>
        </w:numPr>
        <w:spacing w:after="60"/>
      </w:pPr>
      <w:r>
        <w:rPr>
          <w:b/>
          <w:bCs/>
          <w:sz w:val="21"/>
          <w:szCs w:val="21"/>
        </w:rPr>
        <w:t xml:space="preserve">Mixed money representation: </w:t>
      </w:r>
      <w:r>
        <w:rPr>
          <w:sz w:val="21"/>
          <w:szCs w:val="21"/>
        </w:rPr>
        <w:t xml:space="preserve">some fields are float INR, others integer paise. Standardise on integer paise end-to-end to remove sub-paise drift risk.</w:t>
      </w:r>
    </w:p>
    <w:p>
      <w:pPr>
        <w:pStyle w:val="ListParagraph"/>
        <w:numPr>
          <w:ilvl w:val="0"/>
          <w:numId w:val="3"/>
        </w:numPr>
        <w:spacing w:after="60"/>
      </w:pPr>
      <w:r>
        <w:rPr>
          <w:b/>
          <w:bCs/>
          <w:sz w:val="21"/>
          <w:szCs w:val="21"/>
        </w:rPr>
        <w:t xml:space="preserve">GST hardcoded intra-state (CGST+SGST): </w:t>
      </w:r>
      <w:r>
        <w:rPr>
          <w:sz w:val="21"/>
          <w:szCs w:val="21"/>
        </w:rPr>
        <w:t xml:space="preserve">inter-state invoices compute wrong tax. Derive from the customer’s state code before you serve multi-state chains.</w:t>
      </w:r>
    </w:p>
    <w:p>
      <w:pPr>
        <w:pStyle w:val="Heading2"/>
        <w:spacing w:after="80" w:before="180"/>
      </w:pPr>
      <w:r>
        <w:rPr>
          <w:b/>
          <w:bCs/>
          <w:color w:val="222222"/>
        </w:rPr>
        <w:t xml:space="preserve">Medium / tech-debt</w:t>
      </w:r>
    </w:p>
    <w:p>
      <w:pPr>
        <w:pStyle w:val="ListParagraph"/>
        <w:numPr>
          <w:ilvl w:val="0"/>
          <w:numId w:val="2"/>
        </w:numPr>
        <w:spacing w:after="60"/>
      </w:pPr>
      <w:r>
        <w:rPr>
          <w:sz w:val="21"/>
          <w:szCs w:val="21"/>
        </w:rPr>
        <w:t xml:space="preserve">Weak typing in the React apps (~400+ "any" in dashboard, ~118 in admin) — enable noImplicitAny and burn down, especially on money-handling UI.</w:t>
      </w:r>
    </w:p>
    <w:p>
      <w:pPr>
        <w:pStyle w:val="ListParagraph"/>
        <w:numPr>
          <w:ilvl w:val="0"/>
          <w:numId w:val="2"/>
        </w:numPr>
        <w:spacing w:after="60"/>
      </w:pPr>
      <w:r>
        <w:rPr>
          <w:sz w:val="21"/>
          <w:szCs w:val="21"/>
        </w:rPr>
        <w:t xml:space="preserve">~48 swallowed catch blocks in backend services — log at minimum so failures are visible.</w:t>
      </w:r>
    </w:p>
    <w:p>
      <w:pPr>
        <w:pStyle w:val="ListParagraph"/>
        <w:numPr>
          <w:ilvl w:val="0"/>
          <w:numId w:val="2"/>
        </w:numPr>
        <w:spacing w:after="60"/>
      </w:pPr>
      <w:r>
        <w:rPr>
          <w:sz w:val="21"/>
          <w:szCs w:val="21"/>
        </w:rPr>
        <w:t xml:space="preserve">God-files: sprintsAll.routes.js (~1000 lines), orderService.js (~1387), Flutter captain_screen.dart (~1617), api_service.dart (~1313) — split by domain.</w:t>
      </w:r>
    </w:p>
    <w:p>
      <w:pPr>
        <w:pStyle w:val="ListParagraph"/>
        <w:numPr>
          <w:ilvl w:val="0"/>
          <w:numId w:val="2"/>
        </w:numPr>
        <w:spacing w:after="60"/>
      </w:pPr>
      <w:r>
        <w:rPr>
          <w:sz w:val="21"/>
          <w:szCs w:val="21"/>
        </w:rPr>
        <w:t xml:space="preserve">No frontend unit tests (only Playwright e2e); Flutter has 4 test files. Add money-path/billing tests where the rupee math actually renders.</w:t>
      </w:r>
    </w:p>
    <w:p>
      <w:pPr>
        <w:pStyle w:val="Heading2"/>
        <w:spacing w:after="80" w:before="180"/>
      </w:pPr>
      <w:r>
        <w:rPr>
          <w:b/>
          <w:bCs/>
          <w:color w:val="222222"/>
        </w:rPr>
        <w:t xml:space="preserve">Strengths</w:t>
      </w:r>
    </w:p>
    <w:p>
      <w:pPr>
        <w:pStyle w:val="ListParagraph"/>
        <w:numPr>
          <w:ilvl w:val="0"/>
          <w:numId w:val="2"/>
        </w:numPr>
        <w:spacing w:after="60"/>
      </w:pPr>
      <w:r>
        <w:rPr>
          <w:sz w:val="21"/>
          <w:szCs w:val="21"/>
        </w:rPr>
        <w:t xml:space="preserve">Timing-safe HMAC webhook verification with raw-body capture; JWT secret enforced in prod.</w:t>
      </w:r>
    </w:p>
    <w:p>
      <w:pPr>
        <w:pStyle w:val="ListParagraph"/>
        <w:numPr>
          <w:ilvl w:val="0"/>
          <w:numId w:val="2"/>
        </w:numPr>
        <w:spacing w:after="60"/>
      </w:pPr>
      <w:r>
        <w:rPr>
          <w:sz w:val="21"/>
          <w:szCs w:val="21"/>
        </w:rPr>
        <w:t xml:space="preserve">Consistent parameterized SQL with tenant scoping; a dedicated IDOR-audit script.</w:t>
      </w:r>
    </w:p>
    <w:p>
      <w:pPr>
        <w:pStyle w:val="ListParagraph"/>
        <w:numPr>
          <w:ilvl w:val="0"/>
          <w:numId w:val="2"/>
        </w:numPr>
        <w:spacing w:after="60"/>
      </w:pPr>
      <w:r>
        <w:rPr>
          <w:sz w:val="21"/>
          <w:szCs w:val="21"/>
        </w:rPr>
        <w:t xml:space="preserve">Guest QR ordering re-validates prices server-side (anti-tamper); transactions + FOR UPDATE locks on money rows.</w:t>
      </w:r>
    </w:p>
    <w:p>
      <w:pPr>
        <w:pStyle w:val="ListParagraph"/>
        <w:numPr>
          <w:ilvl w:val="0"/>
          <w:numId w:val="2"/>
        </w:numPr>
        <w:spacing w:after="60"/>
      </w:pPr>
      <w:r>
        <w:rPr>
          <w:sz w:val="21"/>
          <w:szCs w:val="21"/>
        </w:rPr>
        <w:t xml:space="preserve">No hardcoded secrets; env-required-in-prod pattern.</w:t>
      </w:r>
    </w:p>
    <w:p>
      <w:r>
        <w:br w:type="page"/>
      </w:r>
    </w:p>
    <w:p>
      <w:pPr>
        <w:pStyle w:val="Heading1"/>
        <w:spacing w:after="120" w:before="260"/>
      </w:pPr>
      <w:r>
        <w:rPr>
          <w:b/>
          <w:bCs/>
          <w:color w:val="1F6F54"/>
        </w:rPr>
        <w:t xml:space="preserve">4. Product review — pros, cons, backlog</w:t>
      </w:r>
    </w:p>
    <w:p>
      <w:pPr>
        <w:pStyle w:val="Heading2"/>
        <w:spacing w:after="80" w:before="180"/>
      </w:pPr>
      <w:r>
        <w:rPr>
          <w:b/>
          <w:bCs/>
          <w:color w:val="222222"/>
        </w:rPr>
        <w:t xml:space="preserve">Pros</w:t>
      </w:r>
    </w:p>
    <w:p>
      <w:pPr>
        <w:pStyle w:val="ListParagraph"/>
        <w:numPr>
          <w:ilvl w:val="0"/>
          <w:numId w:val="2"/>
        </w:numPr>
        <w:spacing w:after="60"/>
      </w:pPr>
      <w:r>
        <w:rPr>
          <w:sz w:val="21"/>
          <w:szCs w:val="21"/>
        </w:rPr>
        <w:t xml:space="preserve">Feature depth already rivals paid incumbents (loyalty, wallet, split-pay, memberships, e-invoice, QR, KDS, captain, offline).</w:t>
      </w:r>
    </w:p>
    <w:p>
      <w:pPr>
        <w:pStyle w:val="ListParagraph"/>
        <w:numPr>
          <w:ilvl w:val="0"/>
          <w:numId w:val="2"/>
        </w:numPr>
        <w:spacing w:after="60"/>
      </w:pPr>
      <w:r>
        <w:rPr>
          <w:sz w:val="21"/>
          <w:szCs w:val="21"/>
        </w:rPr>
        <w:t xml:space="preserve">Mobile-first + offline-first fits Indian restaurants with patchy connectivity — a real differentiator vs web-only tools.</w:t>
      </w:r>
    </w:p>
    <w:p>
      <w:pPr>
        <w:pStyle w:val="ListParagraph"/>
        <w:numPr>
          <w:ilvl w:val="0"/>
          <w:numId w:val="2"/>
        </w:numPr>
        <w:spacing w:after="60"/>
      </w:pPr>
      <w:r>
        <w:rPr>
          <w:sz w:val="21"/>
          <w:szCs w:val="21"/>
        </w:rPr>
        <w:t xml:space="preserve">Multi-tenant, addon-gated architecture means you can price by value and expand revenue per account.</w:t>
      </w:r>
    </w:p>
    <w:p>
      <w:pPr>
        <w:pStyle w:val="ListParagraph"/>
        <w:numPr>
          <w:ilvl w:val="0"/>
          <w:numId w:val="2"/>
        </w:numPr>
        <w:spacing w:after="60"/>
      </w:pPr>
      <w:r>
        <w:rPr>
          <w:sz w:val="21"/>
          <w:szCs w:val="21"/>
        </w:rPr>
        <w:t xml:space="preserve">Staff phone+PIN login and multi-restaurant identity lower friction for owners and staff.</w:t>
      </w:r>
    </w:p>
    <w:p>
      <w:pPr>
        <w:pStyle w:val="Heading2"/>
        <w:spacing w:after="80" w:before="180"/>
      </w:pPr>
      <w:r>
        <w:rPr>
          <w:b/>
          <w:bCs/>
          <w:color w:val="222222"/>
        </w:rPr>
        <w:t xml:space="preserve">Cons / gaps</w:t>
      </w:r>
    </w:p>
    <w:p>
      <w:pPr>
        <w:pStyle w:val="ListParagraph"/>
        <w:numPr>
          <w:ilvl w:val="0"/>
          <w:numId w:val="2"/>
        </w:numPr>
        <w:spacing w:after="60"/>
      </w:pPr>
      <w:r>
        <w:rPr>
          <w:sz w:val="21"/>
          <w:szCs w:val="21"/>
        </w:rPr>
        <w:t xml:space="preserve">Self-serve signup-to-paid loop not yet frictionless (Razorpay KYC pending; onboarding not proven).</w:t>
      </w:r>
    </w:p>
    <w:p>
      <w:pPr>
        <w:pStyle w:val="ListParagraph"/>
        <w:numPr>
          <w:ilvl w:val="0"/>
          <w:numId w:val="2"/>
        </w:numPr>
        <w:spacing w:after="60"/>
      </w:pPr>
      <w:r>
        <w:rPr>
          <w:sz w:val="21"/>
          <w:szCs w:val="21"/>
        </w:rPr>
        <w:t xml:space="preserve">No reseller/partner portal — yet channel is how POS scales in India.</w:t>
      </w:r>
    </w:p>
    <w:p>
      <w:pPr>
        <w:pStyle w:val="ListParagraph"/>
        <w:numPr>
          <w:ilvl w:val="0"/>
          <w:numId w:val="2"/>
        </w:numPr>
        <w:spacing w:after="60"/>
      </w:pPr>
      <w:r>
        <w:rPr>
          <w:sz w:val="21"/>
          <w:szCs w:val="21"/>
        </w:rPr>
        <w:t xml:space="preserve">Reporting/analytics depth is thin vs Petpooja/Posist; chains need consolidated multi-outlet views.</w:t>
      </w:r>
    </w:p>
    <w:p>
      <w:pPr>
        <w:pStyle w:val="ListParagraph"/>
        <w:numPr>
          <w:ilvl w:val="0"/>
          <w:numId w:val="2"/>
        </w:numPr>
        <w:spacing w:after="60"/>
      </w:pPr>
      <w:r>
        <w:rPr>
          <w:sz w:val="21"/>
          <w:szCs w:val="21"/>
        </w:rPr>
        <w:t xml:space="preserve">Language coverage (Hindi + regional) and in-app onboarding/education are light.</w:t>
      </w:r>
    </w:p>
    <w:p>
      <w:pPr>
        <w:pStyle w:val="ListParagraph"/>
        <w:numPr>
          <w:ilvl w:val="0"/>
          <w:numId w:val="2"/>
        </w:numPr>
        <w:spacing w:after="60"/>
      </w:pPr>
      <w:r>
        <w:rPr>
          <w:sz w:val="21"/>
          <w:szCs w:val="21"/>
        </w:rPr>
        <w:t xml:space="preserve">Support is single-founder — a churn and burnout risk at 1,000 accounts.</w:t>
      </w:r>
    </w:p>
    <w:p>
      <w:pPr>
        <w:pStyle w:val="Heading2"/>
        <w:spacing w:after="80" w:before="180"/>
      </w:pPr>
      <w:r>
        <w:rPr>
          <w:b/>
          <w:bCs/>
          <w:color w:val="222222"/>
        </w:rPr>
        <w:t xml:space="preserve">Prioritised backlog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F6F54" w:val="clear"/>
            <w:tcMar>
              <w:top w:type="dxa" w:w="60"/>
              <w:left w:type="dxa" w:w="90"/>
              <w:bottom w:type="dxa" w:w="60"/>
              <w:right w:type="dxa" w:w="90"/>
            </w:tcMar>
          </w:tcPr>
          <w:p>
            <w:r>
              <w:rPr>
                <w:b/>
                <w:bCs/>
                <w:color w:val="FFFFFF"/>
                <w:sz w:val="19"/>
                <w:szCs w:val="19"/>
              </w:rPr>
              <w:t xml:space="preserve">Now (0–6 wks, pre-scale)</w:t>
            </w:r>
          </w:p>
        </w:tc>
        <w:tc>
          <w:tcPr>
            <w:tcW w:type="dxa" w:w="3200"/>
            <w:shd w:fill="1F6F54" w:val="clear"/>
            <w:tcMar>
              <w:top w:type="dxa" w:w="60"/>
              <w:left w:type="dxa" w:w="90"/>
              <w:bottom w:type="dxa" w:w="60"/>
              <w:right w:type="dxa" w:w="90"/>
            </w:tcMar>
          </w:tcPr>
          <w:p>
            <w:r>
              <w:rPr>
                <w:b/>
                <w:bCs/>
                <w:color w:val="FFFFFF"/>
                <w:sz w:val="19"/>
                <w:szCs w:val="19"/>
              </w:rPr>
              <w:t xml:space="preserve">Next (6–16 wks)</w:t>
            </w:r>
          </w:p>
        </w:tc>
        <w:tc>
          <w:tcPr>
            <w:tcW w:type="dxa" w:w="3200"/>
            <w:shd w:fill="1F6F54" w:val="clear"/>
            <w:tcMar>
              <w:top w:type="dxa" w:w="60"/>
              <w:left w:type="dxa" w:w="90"/>
              <w:bottom w:type="dxa" w:w="60"/>
              <w:right w:type="dxa" w:w="90"/>
            </w:tcMar>
          </w:tcPr>
          <w:p>
            <w:r>
              <w:rPr>
                <w:b/>
                <w:bCs/>
                <w:color w:val="FFFFFF"/>
                <w:sz w:val="19"/>
                <w:szCs w:val="19"/>
              </w:rPr>
              <w:t xml:space="preserve">Later (4–9 mo)</w:t>
            </w:r>
          </w:p>
        </w:tc>
      </w:tr>
      <w:tr>
        <w:tc>
          <w:tcPr>
            <w:tcW w:type="dxa" w:w="3200"/>
            <w:shd w:fill="EAF3EF" w:val="clear"/>
            <w:tcMar>
              <w:top w:type="dxa" w:w="50"/>
              <w:left w:type="dxa" w:w="90"/>
              <w:bottom w:type="dxa" w:w="50"/>
              <w:right w:type="dxa" w:w="90"/>
            </w:tcMar>
          </w:tcPr>
          <w:p>
            <w:r>
              <w:rPr>
                <w:sz w:val="18"/>
                <w:szCs w:val="18"/>
              </w:rPr>
              <w:t xml:space="preserve">Razorpay KYC + live billing</w:t>
            </w:r>
          </w:p>
        </w:tc>
        <w:tc>
          <w:tcPr>
            <w:tcW w:type="dxa" w:w="3200"/>
            <w:shd w:fill="EAF3EF" w:val="clear"/>
            <w:tcMar>
              <w:top w:type="dxa" w:w="50"/>
              <w:left w:type="dxa" w:w="90"/>
              <w:bottom w:type="dxa" w:w="50"/>
              <w:right w:type="dxa" w:w="90"/>
            </w:tcMar>
          </w:tcPr>
          <w:p>
            <w:r>
              <w:rPr>
                <w:sz w:val="18"/>
                <w:szCs w:val="18"/>
              </w:rPr>
              <w:t xml:space="preserve">Reseller/partner portal + commissions</w:t>
            </w:r>
          </w:p>
        </w:tc>
        <w:tc>
          <w:tcPr>
            <w:tcW w:type="dxa" w:w="3200"/>
            <w:shd w:fill="EAF3EF" w:val="clear"/>
            <w:tcMar>
              <w:top w:type="dxa" w:w="50"/>
              <w:left w:type="dxa" w:w="90"/>
              <w:bottom w:type="dxa" w:w="50"/>
              <w:right w:type="dxa" w:w="90"/>
            </w:tcMar>
          </w:tcPr>
          <w:p>
            <w:r>
              <w:rPr>
                <w:sz w:val="18"/>
                <w:szCs w:val="18"/>
              </w:rPr>
              <w:t xml:space="preserve">Multi-outlet chain console</w:t>
            </w:r>
          </w:p>
        </w:tc>
      </w:tr>
      <w:tr>
        <w:tc>
          <w:tcPr>
            <w:tcW w:type="dxa" w:w="3200"/>
            <w:shd w:fill="FFFFFF" w:val="clear"/>
            <w:tcMar>
              <w:top w:type="dxa" w:w="50"/>
              <w:left w:type="dxa" w:w="90"/>
              <w:bottom w:type="dxa" w:w="50"/>
              <w:right w:type="dxa" w:w="90"/>
            </w:tcMar>
          </w:tcPr>
          <w:p>
            <w:r>
              <w:rPr>
                <w:sz w:val="18"/>
                <w:szCs w:val="18"/>
              </w:rPr>
              <w:t xml:space="preserve">Fix billing free-activation guard</w:t>
            </w:r>
          </w:p>
        </w:tc>
        <w:tc>
          <w:tcPr>
            <w:tcW w:type="dxa" w:w="3200"/>
            <w:shd w:fill="FFFFFF" w:val="clear"/>
            <w:tcMar>
              <w:top w:type="dxa" w:w="50"/>
              <w:left w:type="dxa" w:w="90"/>
              <w:bottom w:type="dxa" w:w="50"/>
              <w:right w:type="dxa" w:w="90"/>
            </w:tcMar>
          </w:tcPr>
          <w:p>
            <w:r>
              <w:rPr>
                <w:sz w:val="18"/>
                <w:szCs w:val="18"/>
              </w:rPr>
              <w:t xml:space="preserve">SMS OTP + WhatsApp alerts (MSG91/Meta)</w:t>
            </w:r>
          </w:p>
        </w:tc>
        <w:tc>
          <w:tcPr>
            <w:tcW w:type="dxa" w:w="3200"/>
            <w:shd w:fill="FFFFFF" w:val="clear"/>
            <w:tcMar>
              <w:top w:type="dxa" w:w="50"/>
              <w:left w:type="dxa" w:w="90"/>
              <w:bottom w:type="dxa" w:w="50"/>
              <w:right w:type="dxa" w:w="90"/>
            </w:tcMar>
          </w:tcPr>
          <w:p>
            <w:r>
              <w:rPr>
                <w:sz w:val="18"/>
                <w:szCs w:val="18"/>
              </w:rPr>
              <w:t xml:space="preserve">Inventory / recipe costing depth</w:t>
            </w:r>
          </w:p>
        </w:tc>
      </w:tr>
      <w:tr>
        <w:tc>
          <w:tcPr>
            <w:tcW w:type="dxa" w:w="3200"/>
            <w:shd w:fill="EAF3EF" w:val="clear"/>
            <w:tcMar>
              <w:top w:type="dxa" w:w="50"/>
              <w:left w:type="dxa" w:w="90"/>
              <w:bottom w:type="dxa" w:w="50"/>
              <w:right w:type="dxa" w:w="90"/>
            </w:tcMar>
          </w:tcPr>
          <w:p>
            <w:r>
              <w:rPr>
                <w:sz w:val="18"/>
                <w:szCs w:val="18"/>
              </w:rPr>
              <w:t xml:space="preserve">Money → integer paise</w:t>
            </w:r>
          </w:p>
        </w:tc>
        <w:tc>
          <w:tcPr>
            <w:tcW w:type="dxa" w:w="3200"/>
            <w:shd w:fill="EAF3EF" w:val="clear"/>
            <w:tcMar>
              <w:top w:type="dxa" w:w="50"/>
              <w:left w:type="dxa" w:w="90"/>
              <w:bottom w:type="dxa" w:w="50"/>
              <w:right w:type="dxa" w:w="90"/>
            </w:tcMar>
          </w:tcPr>
          <w:p>
            <w:r>
              <w:rPr>
                <w:sz w:val="18"/>
                <w:szCs w:val="18"/>
              </w:rPr>
              <w:t xml:space="preserve">iOS push (Apple Dev)</w:t>
            </w:r>
          </w:p>
        </w:tc>
        <w:tc>
          <w:tcPr>
            <w:tcW w:type="dxa" w:w="3200"/>
            <w:shd w:fill="EAF3EF" w:val="clear"/>
            <w:tcMar>
              <w:top w:type="dxa" w:w="50"/>
              <w:left w:type="dxa" w:w="90"/>
              <w:bottom w:type="dxa" w:w="50"/>
              <w:right w:type="dxa" w:w="90"/>
            </w:tcMar>
          </w:tcPr>
          <w:p>
            <w:r>
              <w:rPr>
                <w:sz w:val="18"/>
                <w:szCs w:val="18"/>
              </w:rPr>
              <w:t xml:space="preserve">ONDC / aggregator deeper integration</w:t>
            </w:r>
          </w:p>
        </w:tc>
      </w:tr>
      <w:tr>
        <w:tc>
          <w:tcPr>
            <w:tcW w:type="dxa" w:w="3200"/>
            <w:shd w:fill="FFFFFF" w:val="clear"/>
            <w:tcMar>
              <w:top w:type="dxa" w:w="50"/>
              <w:left w:type="dxa" w:w="90"/>
              <w:bottom w:type="dxa" w:w="50"/>
              <w:right w:type="dxa" w:w="90"/>
            </w:tcMar>
          </w:tcPr>
          <w:p>
            <w:r>
              <w:rPr>
                <w:sz w:val="18"/>
                <w:szCs w:val="18"/>
              </w:rPr>
              <w:t xml:space="preserve">Guided onboarding + sample menu import</w:t>
            </w:r>
          </w:p>
        </w:tc>
        <w:tc>
          <w:tcPr>
            <w:tcW w:type="dxa" w:w="3200"/>
            <w:shd w:fill="FFFFFF" w:val="clear"/>
            <w:tcMar>
              <w:top w:type="dxa" w:w="50"/>
              <w:left w:type="dxa" w:w="90"/>
              <w:bottom w:type="dxa" w:w="50"/>
              <w:right w:type="dxa" w:w="90"/>
            </w:tcMar>
          </w:tcPr>
          <w:p>
            <w:r>
              <w:rPr>
                <w:sz w:val="18"/>
                <w:szCs w:val="18"/>
              </w:rPr>
              <w:t xml:space="preserve">Referral program (owner-gets-month)</w:t>
            </w:r>
          </w:p>
        </w:tc>
        <w:tc>
          <w:tcPr>
            <w:tcW w:type="dxa" w:w="3200"/>
            <w:shd w:fill="FFFFFF" w:val="clear"/>
            <w:tcMar>
              <w:top w:type="dxa" w:w="50"/>
              <w:left w:type="dxa" w:w="90"/>
              <w:bottom w:type="dxa" w:w="50"/>
              <w:right w:type="dxa" w:w="90"/>
            </w:tcMar>
          </w:tcPr>
          <w:p>
            <w:r>
              <w:rPr>
                <w:sz w:val="18"/>
                <w:szCs w:val="18"/>
              </w:rPr>
              <w:t xml:space="preserve">Payroll / staff attendance</w:t>
            </w:r>
          </w:p>
        </w:tc>
      </w:tr>
      <w:tr>
        <w:tc>
          <w:tcPr>
            <w:tcW w:type="dxa" w:w="3200"/>
            <w:shd w:fill="EAF3EF" w:val="clear"/>
            <w:tcMar>
              <w:top w:type="dxa" w:w="50"/>
              <w:left w:type="dxa" w:w="90"/>
              <w:bottom w:type="dxa" w:w="50"/>
              <w:right w:type="dxa" w:w="90"/>
            </w:tcMar>
          </w:tcPr>
          <w:p>
            <w:r>
              <w:rPr>
                <w:sz w:val="18"/>
                <w:szCs w:val="18"/>
              </w:rPr>
              <w:t xml:space="preserve">Frontend money tests; paid Render tier</w:t>
            </w:r>
          </w:p>
        </w:tc>
        <w:tc>
          <w:tcPr>
            <w:tcW w:type="dxa" w:w="3200"/>
            <w:shd w:fill="EAF3EF" w:val="clear"/>
            <w:tcMar>
              <w:top w:type="dxa" w:w="50"/>
              <w:left w:type="dxa" w:w="90"/>
              <w:bottom w:type="dxa" w:w="50"/>
              <w:right w:type="dxa" w:w="90"/>
            </w:tcMar>
          </w:tcPr>
          <w:p>
            <w:r>
              <w:rPr>
                <w:sz w:val="18"/>
                <w:szCs w:val="18"/>
              </w:rPr>
              <w:t xml:space="preserve">Reporting depth + exportable GST reports</w:t>
            </w:r>
          </w:p>
        </w:tc>
        <w:tc>
          <w:tcPr>
            <w:tcW w:type="dxa" w:w="3200"/>
            <w:shd w:fill="EAF3EF" w:val="clear"/>
            <w:tcMar>
              <w:top w:type="dxa" w:w="50"/>
              <w:left w:type="dxa" w:w="90"/>
              <w:bottom w:type="dxa" w:w="50"/>
              <w:right w:type="dxa" w:w="90"/>
            </w:tcMar>
          </w:tcPr>
          <w:p>
            <w:r>
              <w:rPr>
                <w:sz w:val="18"/>
                <w:szCs w:val="18"/>
              </w:rPr>
              <w:t xml:space="preserve">Marketplace addon ecosystem</w:t>
            </w:r>
          </w:p>
        </w:tc>
      </w:tr>
      <w:tr>
        <w:tc>
          <w:tcPr>
            <w:tcW w:type="dxa" w:w="3200"/>
            <w:shd w:fill="FFFFFF" w:val="clear"/>
            <w:tcMar>
              <w:top w:type="dxa" w:w="50"/>
              <w:left w:type="dxa" w:w="90"/>
              <w:bottom w:type="dxa" w:w="50"/>
              <w:right w:type="dxa" w:w="90"/>
            </w:tcMar>
          </w:tcPr>
          <w:p>
            <w:r>
              <w:rPr>
                <w:sz w:val="18"/>
                <w:szCs w:val="18"/>
              </w:rPr>
              <w:t xml:space="preserve">Inter-state GST fix</w:t>
            </w:r>
          </w:p>
        </w:tc>
        <w:tc>
          <w:tcPr>
            <w:tcW w:type="dxa" w:w="3200"/>
            <w:shd w:fill="FFFFFF" w:val="clear"/>
            <w:tcMar>
              <w:top w:type="dxa" w:w="50"/>
              <w:left w:type="dxa" w:w="90"/>
              <w:bottom w:type="dxa" w:w="50"/>
              <w:right w:type="dxa" w:w="90"/>
            </w:tcMar>
          </w:tcPr>
          <w:p>
            <w:r>
              <w:rPr>
                <w:sz w:val="18"/>
                <w:szCs w:val="18"/>
              </w:rPr>
              <w:t xml:space="preserve">Hindi + 2 regional languages</w:t>
            </w:r>
          </w:p>
        </w:tc>
        <w:tc>
          <w:tcPr>
            <w:tcW w:type="dxa" w:w="3200"/>
            <w:shd w:fill="FFFFFF" w:val="clear"/>
            <w:tcMar>
              <w:top w:type="dxa" w:w="50"/>
              <w:left w:type="dxa" w:w="90"/>
              <w:bottom w:type="dxa" w:w="50"/>
              <w:right w:type="dxa" w:w="90"/>
            </w:tcMar>
          </w:tcPr>
          <w:p>
            <w:r>
              <w:rPr>
                <w:sz w:val="18"/>
                <w:szCs w:val="18"/>
              </w:rPr>
              <w:t xml:space="preserve">Franchise / white-label mode</w:t>
            </w:r>
          </w:p>
        </w:tc>
      </w:tr>
    </w:tbl>
    <w:p>
      <w:pPr>
        <w:pStyle w:val="Heading1"/>
        <w:spacing w:after="120" w:before="260"/>
      </w:pPr>
      <w:r>
        <w:rPr>
          <w:b/>
          <w:bCs/>
          <w:color w:val="1F6F54"/>
        </w:rPr>
        <w:t xml:space="preserve">5. Market research (India restaurant POS)</w:t>
      </w:r>
    </w:p>
    <w:p>
      <w:pPr>
        <w:pStyle w:val="Heading2"/>
        <w:spacing w:after="80" w:before="180"/>
      </w:pPr>
      <w:r>
        <w:rPr>
          <w:b/>
          <w:bCs/>
          <w:color w:val="222222"/>
        </w:rPr>
        <w:t xml:space="preserve">Size &amp; tailwinds</w:t>
      </w:r>
    </w:p>
    <w:p>
      <w:pPr>
        <w:pStyle w:val="ListParagraph"/>
        <w:numPr>
          <w:ilvl w:val="0"/>
          <w:numId w:val="2"/>
        </w:numPr>
        <w:spacing w:after="60"/>
      </w:pPr>
      <w:r>
        <w:rPr>
          <w:sz w:val="21"/>
          <w:szCs w:val="21"/>
        </w:rPr>
        <w:t xml:space="preserve">India restaurant-management-software market: ~$254M (2024) → ~$848M (2030), ~22.8% CAGR — one of the faster-growing SaaS verticals.</w:t>
      </w:r>
    </w:p>
    <w:p>
      <w:pPr>
        <w:pStyle w:val="ListParagraph"/>
        <w:numPr>
          <w:ilvl w:val="0"/>
          <w:numId w:val="2"/>
        </w:numPr>
        <w:spacing w:after="60"/>
      </w:pPr>
      <w:r>
        <w:rPr>
          <w:sz w:val="21"/>
          <w:szCs w:val="21"/>
        </w:rPr>
        <w:t xml:space="preserve">~7.5 million restaurants in India; food-delivery market projected at ~₹2 lakh crore by 2030. Even 1% of outlets = 75,000 potential accounts.</w:t>
      </w:r>
    </w:p>
    <w:p>
      <w:pPr>
        <w:pStyle w:val="ListParagraph"/>
        <w:numPr>
          <w:ilvl w:val="0"/>
          <w:numId w:val="2"/>
        </w:numPr>
        <w:spacing w:after="60"/>
      </w:pPr>
      <w:r>
        <w:rPr>
          <w:sz w:val="21"/>
          <w:szCs w:val="21"/>
        </w:rPr>
        <w:t xml:space="preserve">Regulatory tailwind: GST e-invoicing threshold dropping toward ₹2 crore turnover (from ₹5 cr) — pulls many more SMB restaurants into needing compliant billing software. NamastePOS already does GST invoices.</w:t>
      </w:r>
    </w:p>
    <w:p>
      <w:pPr>
        <w:pStyle w:val="ListParagraph"/>
        <w:numPr>
          <w:ilvl w:val="0"/>
          <w:numId w:val="2"/>
        </w:numPr>
        <w:spacing w:after="60"/>
      </w:pPr>
      <w:r>
        <w:rPr>
          <w:sz w:val="21"/>
          <w:szCs w:val="21"/>
        </w:rPr>
        <w:t xml:space="preserve">UPI-first payments and QR ordering are now default consumer behaviour — favouring modern, mobile POS over legacy billing machines.</w:t>
      </w:r>
    </w:p>
    <w:p>
      <w:pPr>
        <w:pStyle w:val="Heading2"/>
        <w:spacing w:after="80" w:before="180"/>
      </w:pPr>
      <w:r>
        <w:rPr>
          <w:b/>
          <w:bCs/>
          <w:color w:val="222222"/>
        </w:rPr>
        <w:t xml:space="preserve">Competitive landscape</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100"/>
        <w:gridCol w:w="3600"/>
      </w:tblGrid>
      <w:tr>
        <w:trPr>
          <w:tblHeader/>
        </w:trPr>
        <w:tc>
          <w:tcPr>
            <w:tcW w:type="dxa" w:w="1900"/>
            <w:shd w:fill="1F6F54" w:val="clear"/>
            <w:tcMar>
              <w:top w:type="dxa" w:w="60"/>
              <w:left w:type="dxa" w:w="90"/>
              <w:bottom w:type="dxa" w:w="60"/>
              <w:right w:type="dxa" w:w="90"/>
            </w:tcMar>
          </w:tcPr>
          <w:p>
            <w:r>
              <w:rPr>
                <w:b/>
                <w:bCs/>
                <w:color w:val="FFFFFF"/>
                <w:sz w:val="19"/>
                <w:szCs w:val="19"/>
              </w:rPr>
              <w:t xml:space="preserve">Player</w:t>
            </w:r>
          </w:p>
        </w:tc>
        <w:tc>
          <w:tcPr>
            <w:tcW w:type="dxa" w:w="3200"/>
            <w:shd w:fill="1F6F54" w:val="clear"/>
            <w:tcMar>
              <w:top w:type="dxa" w:w="60"/>
              <w:left w:type="dxa" w:w="90"/>
              <w:bottom w:type="dxa" w:w="60"/>
              <w:right w:type="dxa" w:w="90"/>
            </w:tcMar>
          </w:tcPr>
          <w:p>
            <w:r>
              <w:rPr>
                <w:b/>
                <w:bCs/>
                <w:color w:val="FFFFFF"/>
                <w:sz w:val="19"/>
                <w:szCs w:val="19"/>
              </w:rPr>
              <w:t xml:space="preserve">Scale / position</w:t>
            </w:r>
          </w:p>
        </w:tc>
        <w:tc>
          <w:tcPr>
            <w:tcW w:type="dxa" w:w="3100"/>
            <w:shd w:fill="1F6F54" w:val="clear"/>
            <w:tcMar>
              <w:top w:type="dxa" w:w="60"/>
              <w:left w:type="dxa" w:w="90"/>
              <w:bottom w:type="dxa" w:w="60"/>
              <w:right w:type="dxa" w:w="90"/>
            </w:tcMar>
          </w:tcPr>
          <w:p>
            <w:r>
              <w:rPr>
                <w:b/>
                <w:bCs/>
                <w:color w:val="FFFFFF"/>
                <w:sz w:val="19"/>
                <w:szCs w:val="19"/>
              </w:rPr>
              <w:t xml:space="preserve">Approx. price</w:t>
            </w:r>
          </w:p>
        </w:tc>
        <w:tc>
          <w:tcPr>
            <w:tcW w:type="dxa" w:w="3600"/>
            <w:shd w:fill="1F6F54" w:val="clear"/>
            <w:tcMar>
              <w:top w:type="dxa" w:w="60"/>
              <w:left w:type="dxa" w:w="90"/>
              <w:bottom w:type="dxa" w:w="60"/>
              <w:right w:type="dxa" w:w="90"/>
            </w:tcMar>
          </w:tcPr>
          <w:p>
            <w:r>
              <w:rPr>
                <w:b/>
                <w:bCs/>
                <w:color w:val="FFFFFF"/>
                <w:sz w:val="19"/>
                <w:szCs w:val="19"/>
              </w:rPr>
              <w:t xml:space="preserve">Weakness you exploit</w:t>
            </w:r>
          </w:p>
        </w:tc>
      </w:tr>
      <w:tr>
        <w:tc>
          <w:tcPr>
            <w:tcW w:type="dxa" w:w="1900"/>
            <w:shd w:fill="EAF3EF" w:val="clear"/>
            <w:tcMar>
              <w:top w:type="dxa" w:w="50"/>
              <w:left w:type="dxa" w:w="90"/>
              <w:bottom w:type="dxa" w:w="50"/>
              <w:right w:type="dxa" w:w="90"/>
            </w:tcMar>
          </w:tcPr>
          <w:p>
            <w:r>
              <w:rPr>
                <w:sz w:val="18"/>
                <w:szCs w:val="18"/>
              </w:rPr>
              <w:t xml:space="preserve">Petpooja</w:t>
            </w:r>
          </w:p>
        </w:tc>
        <w:tc>
          <w:tcPr>
            <w:tcW w:type="dxa" w:w="3200"/>
            <w:shd w:fill="EAF3EF" w:val="clear"/>
            <w:tcMar>
              <w:top w:type="dxa" w:w="50"/>
              <w:left w:type="dxa" w:w="90"/>
              <w:bottom w:type="dxa" w:w="50"/>
              <w:right w:type="dxa" w:w="90"/>
            </w:tcMar>
          </w:tcPr>
          <w:p>
            <w:r>
              <w:rPr>
                <w:sz w:val="18"/>
                <w:szCs w:val="18"/>
              </w:rPr>
              <w:t xml:space="preserve">100k+ outlets, market leader</w:t>
            </w:r>
          </w:p>
        </w:tc>
        <w:tc>
          <w:tcPr>
            <w:tcW w:type="dxa" w:w="3100"/>
            <w:shd w:fill="EAF3EF" w:val="clear"/>
            <w:tcMar>
              <w:top w:type="dxa" w:w="50"/>
              <w:left w:type="dxa" w:w="90"/>
              <w:bottom w:type="dxa" w:w="50"/>
              <w:right w:type="dxa" w:w="90"/>
            </w:tcMar>
          </w:tcPr>
          <w:p>
            <w:r>
              <w:rPr>
                <w:sz w:val="18"/>
                <w:szCs w:val="18"/>
              </w:rPr>
              <w:t xml:space="preserve">~₹14,400/yr, annual lock-in</w:t>
            </w:r>
          </w:p>
        </w:tc>
        <w:tc>
          <w:tcPr>
            <w:tcW w:type="dxa" w:w="3600"/>
            <w:shd w:fill="EAF3EF" w:val="clear"/>
            <w:tcMar>
              <w:top w:type="dxa" w:w="50"/>
              <w:left w:type="dxa" w:w="90"/>
              <w:bottom w:type="dxa" w:w="50"/>
              <w:right w:type="dxa" w:w="90"/>
            </w:tcMar>
          </w:tcPr>
          <w:p>
            <w:r>
              <w:rPr>
                <w:sz w:val="18"/>
                <w:szCs w:val="18"/>
              </w:rPr>
              <w:t xml:space="preserve">Lock-in, upsell-heavy, generic support</w:t>
            </w:r>
          </w:p>
        </w:tc>
      </w:tr>
      <w:tr>
        <w:tc>
          <w:tcPr>
            <w:tcW w:type="dxa" w:w="1900"/>
            <w:shd w:fill="FFFFFF" w:val="clear"/>
            <w:tcMar>
              <w:top w:type="dxa" w:w="50"/>
              <w:left w:type="dxa" w:w="90"/>
              <w:bottom w:type="dxa" w:w="50"/>
              <w:right w:type="dxa" w:w="90"/>
            </w:tcMar>
          </w:tcPr>
          <w:p>
            <w:r>
              <w:rPr>
                <w:sz w:val="18"/>
                <w:szCs w:val="18"/>
              </w:rPr>
              <w:t xml:space="preserve">Posist / Restroworks</w:t>
            </w:r>
          </w:p>
        </w:tc>
        <w:tc>
          <w:tcPr>
            <w:tcW w:type="dxa" w:w="3200"/>
            <w:shd w:fill="FFFFFF" w:val="clear"/>
            <w:tcMar>
              <w:top w:type="dxa" w:w="50"/>
              <w:left w:type="dxa" w:w="90"/>
              <w:bottom w:type="dxa" w:w="50"/>
              <w:right w:type="dxa" w:w="90"/>
            </w:tcMar>
          </w:tcPr>
          <w:p>
            <w:r>
              <w:rPr>
                <w:sz w:val="18"/>
                <w:szCs w:val="18"/>
              </w:rPr>
              <w:t xml:space="preserve">Enterprise / chains</w:t>
            </w:r>
          </w:p>
        </w:tc>
        <w:tc>
          <w:tcPr>
            <w:tcW w:type="dxa" w:w="3100"/>
            <w:shd w:fill="FFFFFF" w:val="clear"/>
            <w:tcMar>
              <w:top w:type="dxa" w:w="50"/>
              <w:left w:type="dxa" w:w="90"/>
              <w:bottom w:type="dxa" w:w="50"/>
              <w:right w:type="dxa" w:w="90"/>
            </w:tcMar>
          </w:tcPr>
          <w:p>
            <w:r>
              <w:rPr>
                <w:sz w:val="18"/>
                <w:szCs w:val="18"/>
              </w:rPr>
              <w:t xml:space="preserve">~₹18,000+/yr + hardware</w:t>
            </w:r>
          </w:p>
        </w:tc>
        <w:tc>
          <w:tcPr>
            <w:tcW w:type="dxa" w:w="3600"/>
            <w:shd w:fill="FFFFFF" w:val="clear"/>
            <w:tcMar>
              <w:top w:type="dxa" w:w="50"/>
              <w:left w:type="dxa" w:w="90"/>
              <w:bottom w:type="dxa" w:w="50"/>
              <w:right w:type="dxa" w:w="90"/>
            </w:tcMar>
          </w:tcPr>
          <w:p>
            <w:r>
              <w:rPr>
                <w:sz w:val="18"/>
                <w:szCs w:val="18"/>
              </w:rPr>
              <w:t xml:space="preserve">Expensive, heavy, not for small dhabas</w:t>
            </w:r>
          </w:p>
        </w:tc>
      </w:tr>
      <w:tr>
        <w:tc>
          <w:tcPr>
            <w:tcW w:type="dxa" w:w="1900"/>
            <w:shd w:fill="EAF3EF" w:val="clear"/>
            <w:tcMar>
              <w:top w:type="dxa" w:w="50"/>
              <w:left w:type="dxa" w:w="90"/>
              <w:bottom w:type="dxa" w:w="50"/>
              <w:right w:type="dxa" w:w="90"/>
            </w:tcMar>
          </w:tcPr>
          <w:p>
            <w:r>
              <w:rPr>
                <w:sz w:val="18"/>
                <w:szCs w:val="18"/>
              </w:rPr>
              <w:t xml:space="preserve">Rista (DotPe)</w:t>
            </w:r>
          </w:p>
        </w:tc>
        <w:tc>
          <w:tcPr>
            <w:tcW w:type="dxa" w:w="3200"/>
            <w:shd w:fill="EAF3EF" w:val="clear"/>
            <w:tcMar>
              <w:top w:type="dxa" w:w="50"/>
              <w:left w:type="dxa" w:w="90"/>
              <w:bottom w:type="dxa" w:w="50"/>
              <w:right w:type="dxa" w:w="90"/>
            </w:tcMar>
          </w:tcPr>
          <w:p>
            <w:r>
              <w:rPr>
                <w:sz w:val="18"/>
                <w:szCs w:val="18"/>
              </w:rPr>
              <w:t xml:space="preserve">Mid-market</w:t>
            </w:r>
          </w:p>
        </w:tc>
        <w:tc>
          <w:tcPr>
            <w:tcW w:type="dxa" w:w="3100"/>
            <w:shd w:fill="EAF3EF" w:val="clear"/>
            <w:tcMar>
              <w:top w:type="dxa" w:w="50"/>
              <w:left w:type="dxa" w:w="90"/>
              <w:bottom w:type="dxa" w:w="50"/>
              <w:right w:type="dxa" w:w="90"/>
            </w:tcMar>
          </w:tcPr>
          <w:p>
            <w:r>
              <w:rPr>
                <w:sz w:val="18"/>
                <w:szCs w:val="18"/>
              </w:rPr>
              <w:t xml:space="preserve">~₹15,000/yr + ₹600/mo for reports</w:t>
            </w:r>
          </w:p>
        </w:tc>
        <w:tc>
          <w:tcPr>
            <w:tcW w:type="dxa" w:w="3600"/>
            <w:shd w:fill="EAF3EF" w:val="clear"/>
            <w:tcMar>
              <w:top w:type="dxa" w:w="50"/>
              <w:left w:type="dxa" w:w="90"/>
              <w:bottom w:type="dxa" w:w="50"/>
              <w:right w:type="dxa" w:w="90"/>
            </w:tcMar>
          </w:tcPr>
          <w:p>
            <w:r>
              <w:rPr>
                <w:sz w:val="18"/>
                <w:szCs w:val="18"/>
              </w:rPr>
              <w:t xml:space="preserve">Reports behind a paywall</w:t>
            </w:r>
          </w:p>
        </w:tc>
      </w:tr>
      <w:tr>
        <w:tc>
          <w:tcPr>
            <w:tcW w:type="dxa" w:w="1900"/>
            <w:shd w:fill="FFFFFF" w:val="clear"/>
            <w:tcMar>
              <w:top w:type="dxa" w:w="50"/>
              <w:left w:type="dxa" w:w="90"/>
              <w:bottom w:type="dxa" w:w="50"/>
              <w:right w:type="dxa" w:w="90"/>
            </w:tcMar>
          </w:tcPr>
          <w:p>
            <w:r>
              <w:rPr>
                <w:sz w:val="18"/>
                <w:szCs w:val="18"/>
              </w:rPr>
              <w:t xml:space="preserve">DotPe</w:t>
            </w:r>
          </w:p>
        </w:tc>
        <w:tc>
          <w:tcPr>
            <w:tcW w:type="dxa" w:w="3200"/>
            <w:shd w:fill="FFFFFF" w:val="clear"/>
            <w:tcMar>
              <w:top w:type="dxa" w:w="50"/>
              <w:left w:type="dxa" w:w="90"/>
              <w:bottom w:type="dxa" w:w="50"/>
              <w:right w:type="dxa" w:w="90"/>
            </w:tcMar>
          </w:tcPr>
          <w:p>
            <w:r>
              <w:rPr>
                <w:sz w:val="18"/>
                <w:szCs w:val="18"/>
              </w:rPr>
              <w:t xml:space="preserve">Online-order first</w:t>
            </w:r>
          </w:p>
        </w:tc>
        <w:tc>
          <w:tcPr>
            <w:tcW w:type="dxa" w:w="3100"/>
            <w:shd w:fill="FFFFFF" w:val="clear"/>
            <w:tcMar>
              <w:top w:type="dxa" w:w="50"/>
              <w:left w:type="dxa" w:w="90"/>
              <w:bottom w:type="dxa" w:w="50"/>
              <w:right w:type="dxa" w:w="90"/>
            </w:tcMar>
          </w:tcPr>
          <w:p>
            <w:r>
              <w:rPr>
                <w:sz w:val="18"/>
                <w:szCs w:val="18"/>
              </w:rPr>
              <w:t xml:space="preserve">Free-to-start, takes commission</w:t>
            </w:r>
          </w:p>
        </w:tc>
        <w:tc>
          <w:tcPr>
            <w:tcW w:type="dxa" w:w="3600"/>
            <w:shd w:fill="FFFFFF" w:val="clear"/>
            <w:tcMar>
              <w:top w:type="dxa" w:w="50"/>
              <w:left w:type="dxa" w:w="90"/>
              <w:bottom w:type="dxa" w:w="50"/>
              <w:right w:type="dxa" w:w="90"/>
            </w:tcMar>
          </w:tcPr>
          <w:p>
            <w:r>
              <w:rPr>
                <w:sz w:val="18"/>
                <w:szCs w:val="18"/>
              </w:rPr>
              <w:t xml:space="preserve">Commission on your sales; thin POS</w:t>
            </w:r>
          </w:p>
        </w:tc>
      </w:tr>
      <w:tr>
        <w:tc>
          <w:tcPr>
            <w:tcW w:type="dxa" w:w="1900"/>
            <w:shd w:fill="EAF3EF" w:val="clear"/>
            <w:tcMar>
              <w:top w:type="dxa" w:w="50"/>
              <w:left w:type="dxa" w:w="90"/>
              <w:bottom w:type="dxa" w:w="50"/>
              <w:right w:type="dxa" w:w="90"/>
            </w:tcMar>
          </w:tcPr>
          <w:p>
            <w:r>
              <w:rPr>
                <w:sz w:val="18"/>
                <w:szCs w:val="18"/>
              </w:rPr>
              <w:t xml:space="preserve">NamastePOS</w:t>
            </w:r>
          </w:p>
        </w:tc>
        <w:tc>
          <w:tcPr>
            <w:tcW w:type="dxa" w:w="3200"/>
            <w:shd w:fill="EAF3EF" w:val="clear"/>
            <w:tcMar>
              <w:top w:type="dxa" w:w="50"/>
              <w:left w:type="dxa" w:w="90"/>
              <w:bottom w:type="dxa" w:w="50"/>
              <w:right w:type="dxa" w:w="90"/>
            </w:tcMar>
          </w:tcPr>
          <w:p>
            <w:r>
              <w:rPr>
                <w:sz w:val="18"/>
                <w:szCs w:val="18"/>
              </w:rPr>
              <w:t xml:space="preserve">Challenger</w:t>
            </w:r>
          </w:p>
        </w:tc>
        <w:tc>
          <w:tcPr>
            <w:tcW w:type="dxa" w:w="3100"/>
            <w:shd w:fill="EAF3EF" w:val="clear"/>
            <w:tcMar>
              <w:top w:type="dxa" w:w="50"/>
              <w:left w:type="dxa" w:w="90"/>
              <w:bottom w:type="dxa" w:w="50"/>
              <w:right w:type="dxa" w:w="90"/>
            </w:tcMar>
          </w:tcPr>
          <w:p>
            <w:r>
              <w:rPr>
                <w:sz w:val="18"/>
                <w:szCs w:val="18"/>
              </w:rPr>
              <w:t xml:space="preserve">Proposed ₹7,999–9,999/yr</w:t>
            </w:r>
          </w:p>
        </w:tc>
        <w:tc>
          <w:tcPr>
            <w:tcW w:type="dxa" w:w="3600"/>
            <w:shd w:fill="EAF3EF" w:val="clear"/>
            <w:tcMar>
              <w:top w:type="dxa" w:w="50"/>
              <w:left w:type="dxa" w:w="90"/>
              <w:bottom w:type="dxa" w:w="50"/>
              <w:right w:type="dxa" w:w="90"/>
            </w:tcMar>
          </w:tcPr>
          <w:p>
            <w:r>
              <w:rPr>
                <w:sz w:val="18"/>
                <w:szCs w:val="18"/>
              </w:rPr>
              <w:t xml:space="preserve">All-inclusive, no lock-in, mobile+offline</w:t>
            </w:r>
          </w:p>
        </w:tc>
      </w:tr>
    </w:tbl>
    <w:p>
      <w:pPr>
        <w:spacing w:after="100"/>
      </w:pPr>
      <w:r>
        <w:rPr>
          <w:b/>
          <w:bCs/>
          <w:sz w:val="21"/>
          <w:szCs w:val="21"/>
        </w:rPr>
        <w:t xml:space="preserve">Positioning: </w:t>
      </w:r>
      <w:r>
        <w:rPr>
          <w:sz w:val="21"/>
          <w:szCs w:val="21"/>
        </w:rPr>
        <w:t xml:space="preserve">"All of Petpooja’s everyday features, mobile-first and offline-ready, at a lower all-inclusive price — no lock-in, no report paywall, no per-feature nickel-and-diming." Wedge on price + transparency + mobile/offline for the small and mid single-outlet segment the enterprise players ignore.</w:t>
      </w:r>
    </w:p>
    <w:p>
      <w:pPr>
        <w:pStyle w:val="Heading1"/>
        <w:spacing w:after="120" w:before="260"/>
      </w:pPr>
      <w:r>
        <w:rPr>
          <w:b/>
          <w:bCs/>
          <w:color w:val="1F6F54"/>
        </w:rPr>
        <w:t xml:space="preserve">6. Pricing strategy</w:t>
      </w:r>
    </w:p>
    <w:p>
      <w:pPr>
        <w:pStyle w:val="ListParagraph"/>
        <w:numPr>
          <w:ilvl w:val="0"/>
          <w:numId w:val="2"/>
        </w:numPr>
        <w:spacing w:after="60"/>
      </w:pPr>
      <w:r>
        <w:rPr>
          <w:sz w:val="21"/>
          <w:szCs w:val="21"/>
        </w:rPr>
        <w:t xml:space="preserve">Undercut on headline price but keep it simple: one all-inclusive plan beats a confusing matrix for SMBs.</w:t>
      </w:r>
    </w:p>
    <w:p>
      <w:pPr>
        <w:pStyle w:val="ListParagraph"/>
        <w:numPr>
          <w:ilvl w:val="0"/>
          <w:numId w:val="2"/>
        </w:numPr>
        <w:spacing w:after="60"/>
      </w:pPr>
      <w:r>
        <w:rPr>
          <w:sz w:val="21"/>
          <w:szCs w:val="21"/>
        </w:rPr>
        <w:t xml:space="preserve">Starter ₹7,999/yr (₹799/mo) — single outlet, all core POS, GST invoicing, QR, offline.</w:t>
      </w:r>
    </w:p>
    <w:p>
      <w:pPr>
        <w:pStyle w:val="ListParagraph"/>
        <w:numPr>
          <w:ilvl w:val="0"/>
          <w:numId w:val="2"/>
        </w:numPr>
        <w:spacing w:after="60"/>
      </w:pPr>
      <w:r>
        <w:rPr>
          <w:sz w:val="21"/>
          <w:szCs w:val="21"/>
        </w:rPr>
        <w:t xml:space="preserve">Pro ₹11,999/yr — adds loyalty, wallet, memberships, WhatsApp, advanced reports.</w:t>
      </w:r>
    </w:p>
    <w:p>
      <w:pPr>
        <w:pStyle w:val="ListParagraph"/>
        <w:numPr>
          <w:ilvl w:val="0"/>
          <w:numId w:val="2"/>
        </w:numPr>
        <w:spacing w:after="60"/>
      </w:pPr>
      <w:r>
        <w:rPr>
          <w:sz w:val="21"/>
          <w:szCs w:val="21"/>
        </w:rPr>
        <w:t xml:space="preserve">Enterprise (multi-outlet) — custom, land chains later.</w:t>
      </w:r>
    </w:p>
    <w:p>
      <w:pPr>
        <w:pStyle w:val="ListParagraph"/>
        <w:numPr>
          <w:ilvl w:val="0"/>
          <w:numId w:val="2"/>
        </w:numPr>
        <w:spacing w:after="60"/>
      </w:pPr>
      <w:r>
        <w:rPr>
          <w:sz w:val="21"/>
          <w:szCs w:val="21"/>
        </w:rPr>
        <w:t xml:space="preserve">30-day free trial, no card required; annual prepay discount (2 months free) to pull cash forward and cut churn.</w:t>
      </w:r>
    </w:p>
    <w:p>
      <w:pPr>
        <w:pStyle w:val="ListParagraph"/>
        <w:numPr>
          <w:ilvl w:val="0"/>
          <w:numId w:val="2"/>
        </w:numPr>
        <w:spacing w:after="60"/>
      </w:pPr>
      <w:r>
        <w:rPr>
          <w:sz w:val="21"/>
          <w:szCs w:val="21"/>
        </w:rPr>
        <w:t xml:space="preserve">Expansion revenue via addons (WhatsApp, e-invoice pack, extra outlets) to push NRR above 100%.</w:t>
      </w:r>
    </w:p>
    <w:p>
      <w:r>
        <w:br w:type="page"/>
      </w:r>
    </w:p>
    <w:p>
      <w:pPr>
        <w:pStyle w:val="Heading1"/>
        <w:spacing w:after="120" w:before="260"/>
      </w:pPr>
      <w:r>
        <w:rPr>
          <w:b/>
          <w:bCs/>
          <w:color w:val="1F6F54"/>
        </w:rPr>
        <w:t xml:space="preserve">7. Marketing &amp; go-to-market plan</w:t>
      </w:r>
    </w:p>
    <w:p>
      <w:pPr>
        <w:spacing w:after="100"/>
      </w:pPr>
      <w:r>
        <w:rPr>
          <w:b/>
          <w:bCs/>
          <w:sz w:val="21"/>
          <w:szCs w:val="21"/>
        </w:rPr>
        <w:t xml:space="preserve">POS in India is sold, not just marketed. </w:t>
      </w:r>
      <w:r>
        <w:rPr>
          <w:sz w:val="21"/>
          <w:szCs w:val="21"/>
        </w:rPr>
        <w:t xml:space="preserve">The winning motion is a hybrid: a channel (reseller) engine for volume + digital demand-gen for inbound + a free trial that converts. Petpooja scaled on feet-on-street; you replicate a lean version of that.</w:t>
      </w:r>
    </w:p>
    <w:p>
      <w:pPr>
        <w:pStyle w:val="Heading2"/>
        <w:spacing w:after="80" w:before="180"/>
      </w:pPr>
      <w:r>
        <w:rPr>
          <w:b/>
          <w:bCs/>
          <w:color w:val="222222"/>
        </w:rPr>
        <w:t xml:space="preserve">Channels (ranked by expected contribution)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900"/>
      </w:tblGrid>
      <w:tr>
        <w:trPr>
          <w:tblHeader/>
        </w:trPr>
        <w:tc>
          <w:tcPr>
            <w:tcW w:type="dxa" w:w="2400"/>
            <w:shd w:fill="1F6F54" w:val="clear"/>
            <w:tcMar>
              <w:top w:type="dxa" w:w="60"/>
              <w:left w:type="dxa" w:w="90"/>
              <w:bottom w:type="dxa" w:w="60"/>
              <w:right w:type="dxa" w:w="90"/>
            </w:tcMar>
          </w:tcPr>
          <w:p>
            <w:r>
              <w:rPr>
                <w:b/>
                <w:bCs/>
                <w:color w:val="FFFFFF"/>
                <w:sz w:val="19"/>
                <w:szCs w:val="19"/>
              </w:rPr>
              <w:t xml:space="preserve">Channel</w:t>
            </w:r>
          </w:p>
        </w:tc>
        <w:tc>
          <w:tcPr>
            <w:tcW w:type="dxa" w:w="4400"/>
            <w:shd w:fill="1F6F54" w:val="clear"/>
            <w:tcMar>
              <w:top w:type="dxa" w:w="60"/>
              <w:left w:type="dxa" w:w="90"/>
              <w:bottom w:type="dxa" w:w="60"/>
              <w:right w:type="dxa" w:w="90"/>
            </w:tcMar>
          </w:tcPr>
          <w:p>
            <w:r>
              <w:rPr>
                <w:b/>
                <w:bCs/>
                <w:color w:val="FFFFFF"/>
                <w:sz w:val="19"/>
                <w:szCs w:val="19"/>
              </w:rPr>
              <w:t xml:space="preserve">What to do</w:t>
            </w:r>
          </w:p>
        </w:tc>
        <w:tc>
          <w:tcPr>
            <w:tcW w:type="dxa" w:w="2900"/>
            <w:shd w:fill="1F6F54" w:val="clear"/>
            <w:tcMar>
              <w:top w:type="dxa" w:w="60"/>
              <w:left w:type="dxa" w:w="90"/>
              <w:bottom w:type="dxa" w:w="60"/>
              <w:right w:type="dxa" w:w="90"/>
            </w:tcMar>
          </w:tcPr>
          <w:p>
            <w:r>
              <w:rPr>
                <w:b/>
                <w:bCs/>
                <w:color w:val="FFFFFF"/>
                <w:sz w:val="19"/>
                <w:szCs w:val="19"/>
              </w:rPr>
              <w:t xml:space="preserve">Why it works</w:t>
            </w:r>
          </w:p>
        </w:tc>
      </w:tr>
      <w:tr>
        <w:tc>
          <w:tcPr>
            <w:tcW w:type="dxa" w:w="2400"/>
            <w:shd w:fill="EAF3EF" w:val="clear"/>
            <w:tcMar>
              <w:top w:type="dxa" w:w="50"/>
              <w:left w:type="dxa" w:w="90"/>
              <w:bottom w:type="dxa" w:w="50"/>
              <w:right w:type="dxa" w:w="90"/>
            </w:tcMar>
          </w:tcPr>
          <w:p>
            <w:r>
              <w:rPr>
                <w:sz w:val="18"/>
                <w:szCs w:val="18"/>
              </w:rPr>
              <w:t xml:space="preserve">Resellers / partners</w:t>
            </w:r>
          </w:p>
        </w:tc>
        <w:tc>
          <w:tcPr>
            <w:tcW w:type="dxa" w:w="4400"/>
            <w:shd w:fill="EAF3EF" w:val="clear"/>
            <w:tcMar>
              <w:top w:type="dxa" w:w="50"/>
              <w:left w:type="dxa" w:w="90"/>
              <w:bottom w:type="dxa" w:w="50"/>
              <w:right w:type="dxa" w:w="90"/>
            </w:tcMar>
          </w:tcPr>
          <w:p>
            <w:r>
              <w:rPr>
                <w:sz w:val="18"/>
                <w:szCs w:val="18"/>
              </w:rPr>
              <w:t xml:space="preserve">Recruit 10–20 local partners (POS hardware dealers, CAs, kitchen-equipment suppliers, printer vendors). 20–30% recurring commission + partner portal.</w:t>
            </w:r>
          </w:p>
        </w:tc>
        <w:tc>
          <w:tcPr>
            <w:tcW w:type="dxa" w:w="2900"/>
            <w:shd w:fill="EAF3EF" w:val="clear"/>
            <w:tcMar>
              <w:top w:type="dxa" w:w="50"/>
              <w:left w:type="dxa" w:w="90"/>
              <w:bottom w:type="dxa" w:w="50"/>
              <w:right w:type="dxa" w:w="90"/>
            </w:tcMar>
          </w:tcPr>
          <w:p>
            <w:r>
              <w:rPr>
                <w:sz w:val="18"/>
                <w:szCs w:val="18"/>
              </w:rPr>
              <w:t xml:space="preserve">They already sit in front of restaurant owners daily; fastest path to volume.</w:t>
            </w:r>
          </w:p>
        </w:tc>
      </w:tr>
      <w:tr>
        <w:tc>
          <w:tcPr>
            <w:tcW w:type="dxa" w:w="2400"/>
            <w:shd w:fill="FFFFFF" w:val="clear"/>
            <w:tcMar>
              <w:top w:type="dxa" w:w="50"/>
              <w:left w:type="dxa" w:w="90"/>
              <w:bottom w:type="dxa" w:w="50"/>
              <w:right w:type="dxa" w:w="90"/>
            </w:tcMar>
          </w:tcPr>
          <w:p>
            <w:r>
              <w:rPr>
                <w:sz w:val="18"/>
                <w:szCs w:val="18"/>
              </w:rPr>
              <w:t xml:space="preserve">Hyperlocal field sales</w:t>
            </w:r>
          </w:p>
        </w:tc>
        <w:tc>
          <w:tcPr>
            <w:tcW w:type="dxa" w:w="4400"/>
            <w:shd w:fill="FFFFFF" w:val="clear"/>
            <w:tcMar>
              <w:top w:type="dxa" w:w="50"/>
              <w:left w:type="dxa" w:w="90"/>
              <w:bottom w:type="dxa" w:w="50"/>
              <w:right w:type="dxa" w:w="90"/>
            </w:tcMar>
          </w:tcPr>
          <w:p>
            <w:r>
              <w:rPr>
                <w:sz w:val="18"/>
                <w:szCs w:val="18"/>
              </w:rPr>
              <w:t xml:space="preserve">Pick 1–2 cities; walk food streets/markets; live 10-min demo on a phone.</w:t>
            </w:r>
          </w:p>
        </w:tc>
        <w:tc>
          <w:tcPr>
            <w:tcW w:type="dxa" w:w="2900"/>
            <w:shd w:fill="FFFFFF" w:val="clear"/>
            <w:tcMar>
              <w:top w:type="dxa" w:w="50"/>
              <w:left w:type="dxa" w:w="90"/>
              <w:bottom w:type="dxa" w:w="50"/>
              <w:right w:type="dxa" w:w="90"/>
            </w:tcMar>
          </w:tcPr>
          <w:p>
            <w:r>
              <w:rPr>
                <w:sz w:val="18"/>
                <w:szCs w:val="18"/>
              </w:rPr>
              <w:t xml:space="preserve">High close rate face-to-face; builds reference cluster + word of mouth.</w:t>
            </w:r>
          </w:p>
        </w:tc>
      </w:tr>
      <w:tr>
        <w:tc>
          <w:tcPr>
            <w:tcW w:type="dxa" w:w="2400"/>
            <w:shd w:fill="EAF3EF" w:val="clear"/>
            <w:tcMar>
              <w:top w:type="dxa" w:w="50"/>
              <w:left w:type="dxa" w:w="90"/>
              <w:bottom w:type="dxa" w:w="50"/>
              <w:right w:type="dxa" w:w="90"/>
            </w:tcMar>
          </w:tcPr>
          <w:p>
            <w:r>
              <w:rPr>
                <w:sz w:val="18"/>
                <w:szCs w:val="18"/>
              </w:rPr>
              <w:t xml:space="preserve">Digital ads</w:t>
            </w:r>
          </w:p>
        </w:tc>
        <w:tc>
          <w:tcPr>
            <w:tcW w:type="dxa" w:w="4400"/>
            <w:shd w:fill="EAF3EF" w:val="clear"/>
            <w:tcMar>
              <w:top w:type="dxa" w:w="50"/>
              <w:left w:type="dxa" w:w="90"/>
              <w:bottom w:type="dxa" w:w="50"/>
              <w:right w:type="dxa" w:w="90"/>
            </w:tcMar>
          </w:tcPr>
          <w:p>
            <w:r>
              <w:rPr>
                <w:sz w:val="18"/>
                <w:szCs w:val="18"/>
              </w:rPr>
              <w:t xml:space="preserve">Google Search on "Petpooja alternative / restaurant billing software", Meta/Instagram to restaurant-owner interest + lookalikes.</w:t>
            </w:r>
          </w:p>
        </w:tc>
        <w:tc>
          <w:tcPr>
            <w:tcW w:type="dxa" w:w="2900"/>
            <w:shd w:fill="EAF3EF" w:val="clear"/>
            <w:tcMar>
              <w:top w:type="dxa" w:w="50"/>
              <w:left w:type="dxa" w:w="90"/>
              <w:bottom w:type="dxa" w:w="50"/>
              <w:right w:type="dxa" w:w="90"/>
            </w:tcMar>
          </w:tcPr>
          <w:p>
            <w:r>
              <w:rPr>
                <w:sz w:val="18"/>
                <w:szCs w:val="18"/>
              </w:rPr>
              <w:t xml:space="preserve">Captures active switchers and new openings; cheap inbound trials.</w:t>
            </w:r>
          </w:p>
        </w:tc>
      </w:tr>
      <w:tr>
        <w:tc>
          <w:tcPr>
            <w:tcW w:type="dxa" w:w="2400"/>
            <w:shd w:fill="FFFFFF" w:val="clear"/>
            <w:tcMar>
              <w:top w:type="dxa" w:w="50"/>
              <w:left w:type="dxa" w:w="90"/>
              <w:bottom w:type="dxa" w:w="50"/>
              <w:right w:type="dxa" w:w="90"/>
            </w:tcMar>
          </w:tcPr>
          <w:p>
            <w:r>
              <w:rPr>
                <w:sz w:val="18"/>
                <w:szCs w:val="18"/>
              </w:rPr>
              <w:t xml:space="preserve">Referral</w:t>
            </w:r>
          </w:p>
        </w:tc>
        <w:tc>
          <w:tcPr>
            <w:tcW w:type="dxa" w:w="4400"/>
            <w:shd w:fill="FFFFFF" w:val="clear"/>
            <w:tcMar>
              <w:top w:type="dxa" w:w="50"/>
              <w:left w:type="dxa" w:w="90"/>
              <w:bottom w:type="dxa" w:w="50"/>
              <w:right w:type="dxa" w:w="90"/>
            </w:tcMar>
          </w:tcPr>
          <w:p>
            <w:r>
              <w:rPr>
                <w:sz w:val="18"/>
                <w:szCs w:val="18"/>
              </w:rPr>
              <w:t xml:space="preserve">Every paying owner who refers a peer gets 1–2 months free.</w:t>
            </w:r>
          </w:p>
        </w:tc>
        <w:tc>
          <w:tcPr>
            <w:tcW w:type="dxa" w:w="2900"/>
            <w:shd w:fill="FFFFFF" w:val="clear"/>
            <w:tcMar>
              <w:top w:type="dxa" w:w="50"/>
              <w:left w:type="dxa" w:w="90"/>
              <w:bottom w:type="dxa" w:w="50"/>
              <w:right w:type="dxa" w:w="90"/>
            </w:tcMar>
          </w:tcPr>
          <w:p>
            <w:r>
              <w:rPr>
                <w:sz w:val="18"/>
                <w:szCs w:val="18"/>
              </w:rPr>
              <w:t xml:space="preserve">Restaurateurs trust other restaurateurs; lowers CAC.</w:t>
            </w:r>
          </w:p>
        </w:tc>
      </w:tr>
      <w:tr>
        <w:tc>
          <w:tcPr>
            <w:tcW w:type="dxa" w:w="2400"/>
            <w:shd w:fill="EAF3EF" w:val="clear"/>
            <w:tcMar>
              <w:top w:type="dxa" w:w="50"/>
              <w:left w:type="dxa" w:w="90"/>
              <w:bottom w:type="dxa" w:w="50"/>
              <w:right w:type="dxa" w:w="90"/>
            </w:tcMar>
          </w:tcPr>
          <w:p>
            <w:r>
              <w:rPr>
                <w:sz w:val="18"/>
                <w:szCs w:val="18"/>
              </w:rPr>
              <w:t xml:space="preserve">Associations / content</w:t>
            </w:r>
          </w:p>
        </w:tc>
        <w:tc>
          <w:tcPr>
            <w:tcW w:type="dxa" w:w="4400"/>
            <w:shd w:fill="EAF3EF" w:val="clear"/>
            <w:tcMar>
              <w:top w:type="dxa" w:w="50"/>
              <w:left w:type="dxa" w:w="90"/>
              <w:bottom w:type="dxa" w:w="50"/>
              <w:right w:type="dxa" w:w="90"/>
            </w:tcMar>
          </w:tcPr>
          <w:p>
            <w:r>
              <w:rPr>
                <w:sz w:val="18"/>
                <w:szCs w:val="18"/>
              </w:rPr>
              <w:t xml:space="preserve">Tie-ups with restaurant associations; YouTube/Reels in Hindi on "run your restaurant", GST, billing.</w:t>
            </w:r>
          </w:p>
        </w:tc>
        <w:tc>
          <w:tcPr>
            <w:tcW w:type="dxa" w:w="2900"/>
            <w:shd w:fill="EAF3EF" w:val="clear"/>
            <w:tcMar>
              <w:top w:type="dxa" w:w="50"/>
              <w:left w:type="dxa" w:w="90"/>
              <w:bottom w:type="dxa" w:w="50"/>
              <w:right w:type="dxa" w:w="90"/>
            </w:tcMar>
          </w:tcPr>
          <w:p>
            <w:r>
              <w:rPr>
                <w:sz w:val="18"/>
                <w:szCs w:val="18"/>
              </w:rPr>
              <w:t xml:space="preserve">Authority + organic reach in vernacular.</w:t>
            </w:r>
          </w:p>
        </w:tc>
      </w:tr>
    </w:tbl>
    <w:p>
      <w:pPr>
        <w:pStyle w:val="Heading2"/>
        <w:spacing w:after="80" w:before="180"/>
      </w:pPr>
      <w:r>
        <w:rPr>
          <w:b/>
          <w:bCs/>
          <w:color w:val="222222"/>
        </w:rPr>
        <w:t xml:space="preserve">6-month campaign calendar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5200"/>
        <w:gridCol w:w="1700"/>
      </w:tblGrid>
      <w:tr>
        <w:trPr>
          <w:tblHeader/>
        </w:trPr>
        <w:tc>
          <w:tcPr>
            <w:tcW w:type="dxa" w:w="900"/>
            <w:shd w:fill="1F6F54" w:val="clear"/>
            <w:tcMar>
              <w:top w:type="dxa" w:w="60"/>
              <w:left w:type="dxa" w:w="90"/>
              <w:bottom w:type="dxa" w:w="60"/>
              <w:right w:type="dxa" w:w="90"/>
            </w:tcMar>
          </w:tcPr>
          <w:p>
            <w:r>
              <w:rPr>
                <w:b/>
                <w:bCs/>
                <w:color w:val="FFFFFF"/>
                <w:sz w:val="19"/>
                <w:szCs w:val="19"/>
              </w:rPr>
              <w:t xml:space="preserve">Month</w:t>
            </w:r>
          </w:p>
        </w:tc>
        <w:tc>
          <w:tcPr>
            <w:tcW w:type="dxa" w:w="1900"/>
            <w:shd w:fill="1F6F54" w:val="clear"/>
            <w:tcMar>
              <w:top w:type="dxa" w:w="60"/>
              <w:left w:type="dxa" w:w="90"/>
              <w:bottom w:type="dxa" w:w="60"/>
              <w:right w:type="dxa" w:w="90"/>
            </w:tcMar>
          </w:tcPr>
          <w:p>
            <w:r>
              <w:rPr>
                <w:b/>
                <w:bCs/>
                <w:color w:val="FFFFFF"/>
                <w:sz w:val="19"/>
                <w:szCs w:val="19"/>
              </w:rPr>
              <w:t xml:space="preserve">Theme</w:t>
            </w:r>
          </w:p>
        </w:tc>
        <w:tc>
          <w:tcPr>
            <w:tcW w:type="dxa" w:w="5200"/>
            <w:shd w:fill="1F6F54" w:val="clear"/>
            <w:tcMar>
              <w:top w:type="dxa" w:w="60"/>
              <w:left w:type="dxa" w:w="90"/>
              <w:bottom w:type="dxa" w:w="60"/>
              <w:right w:type="dxa" w:w="90"/>
            </w:tcMar>
          </w:tcPr>
          <w:p>
            <w:r>
              <w:rPr>
                <w:b/>
                <w:bCs/>
                <w:color w:val="FFFFFF"/>
                <w:sz w:val="19"/>
                <w:szCs w:val="19"/>
              </w:rPr>
              <w:t xml:space="preserve">Key actions</w:t>
            </w:r>
          </w:p>
        </w:tc>
        <w:tc>
          <w:tcPr>
            <w:tcW w:type="dxa" w:w="1700"/>
            <w:shd w:fill="1F6F54" w:val="clear"/>
            <w:tcMar>
              <w:top w:type="dxa" w:w="60"/>
              <w:left w:type="dxa" w:w="90"/>
              <w:bottom w:type="dxa" w:w="60"/>
              <w:right w:type="dxa" w:w="90"/>
            </w:tcMar>
          </w:tcPr>
          <w:p>
            <w:r>
              <w:rPr>
                <w:b/>
                <w:bCs/>
                <w:color w:val="FFFFFF"/>
                <w:sz w:val="19"/>
                <w:szCs w:val="19"/>
              </w:rPr>
              <w:t xml:space="preserve">Target net-new paid</w:t>
            </w:r>
          </w:p>
        </w:tc>
      </w:tr>
      <w:tr>
        <w:tc>
          <w:tcPr>
            <w:tcW w:type="dxa" w:w="900"/>
            <w:shd w:fill="EAF3EF" w:val="clear"/>
            <w:tcMar>
              <w:top w:type="dxa" w:w="50"/>
              <w:left w:type="dxa" w:w="90"/>
              <w:bottom w:type="dxa" w:w="50"/>
              <w:right w:type="dxa" w:w="90"/>
            </w:tcMar>
          </w:tcPr>
          <w:p>
            <w:r>
              <w:rPr>
                <w:sz w:val="18"/>
                <w:szCs w:val="18"/>
              </w:rPr>
              <w:t xml:space="preserve">1</w:t>
            </w:r>
          </w:p>
        </w:tc>
        <w:tc>
          <w:tcPr>
            <w:tcW w:type="dxa" w:w="1900"/>
            <w:shd w:fill="EAF3EF" w:val="clear"/>
            <w:tcMar>
              <w:top w:type="dxa" w:w="50"/>
              <w:left w:type="dxa" w:w="90"/>
              <w:bottom w:type="dxa" w:w="50"/>
              <w:right w:type="dxa" w:w="90"/>
            </w:tcMar>
          </w:tcPr>
          <w:p>
            <w:r>
              <w:rPr>
                <w:sz w:val="18"/>
                <w:szCs w:val="18"/>
              </w:rPr>
              <w:t xml:space="preserve">Foundation</w:t>
            </w:r>
          </w:p>
        </w:tc>
        <w:tc>
          <w:tcPr>
            <w:tcW w:type="dxa" w:w="5200"/>
            <w:shd w:fill="EAF3EF" w:val="clear"/>
            <w:tcMar>
              <w:top w:type="dxa" w:w="50"/>
              <w:left w:type="dxa" w:w="90"/>
              <w:bottom w:type="dxa" w:w="50"/>
              <w:right w:type="dxa" w:w="90"/>
            </w:tcMar>
          </w:tcPr>
          <w:p>
            <w:r>
              <w:rPr>
                <w:sz w:val="18"/>
                <w:szCs w:val="18"/>
              </w:rPr>
              <w:t xml:space="preserve">Razorpay live, onboarding flow, landing + demo video, recruit first 5 resellers, 1 pilot city</w:t>
            </w:r>
          </w:p>
        </w:tc>
        <w:tc>
          <w:tcPr>
            <w:tcW w:type="dxa" w:w="1700"/>
            <w:shd w:fill="EAF3EF" w:val="clear"/>
            <w:tcMar>
              <w:top w:type="dxa" w:w="50"/>
              <w:left w:type="dxa" w:w="90"/>
              <w:bottom w:type="dxa" w:w="50"/>
              <w:right w:type="dxa" w:w="90"/>
            </w:tcMar>
          </w:tcPr>
          <w:p>
            <w:r>
              <w:rPr>
                <w:sz w:val="18"/>
                <w:szCs w:val="18"/>
              </w:rPr>
              <w:t xml:space="preserve">20</w:t>
            </w:r>
          </w:p>
        </w:tc>
      </w:tr>
      <w:tr>
        <w:tc>
          <w:tcPr>
            <w:tcW w:type="dxa" w:w="900"/>
            <w:shd w:fill="FFFFFF" w:val="clear"/>
            <w:tcMar>
              <w:top w:type="dxa" w:w="50"/>
              <w:left w:type="dxa" w:w="90"/>
              <w:bottom w:type="dxa" w:w="50"/>
              <w:right w:type="dxa" w:w="90"/>
            </w:tcMar>
          </w:tcPr>
          <w:p>
            <w:r>
              <w:rPr>
                <w:sz w:val="18"/>
                <w:szCs w:val="18"/>
              </w:rPr>
              <w:t xml:space="preserve">2</w:t>
            </w:r>
          </w:p>
        </w:tc>
        <w:tc>
          <w:tcPr>
            <w:tcW w:type="dxa" w:w="1900"/>
            <w:shd w:fill="FFFFFF" w:val="clear"/>
            <w:tcMar>
              <w:top w:type="dxa" w:w="50"/>
              <w:left w:type="dxa" w:w="90"/>
              <w:bottom w:type="dxa" w:w="50"/>
              <w:right w:type="dxa" w:w="90"/>
            </w:tcMar>
          </w:tcPr>
          <w:p>
            <w:r>
              <w:rPr>
                <w:sz w:val="18"/>
                <w:szCs w:val="18"/>
              </w:rPr>
              <w:t xml:space="preserve">Prove</w:t>
            </w:r>
          </w:p>
        </w:tc>
        <w:tc>
          <w:tcPr>
            <w:tcW w:type="dxa" w:w="5200"/>
            <w:shd w:fill="FFFFFF" w:val="clear"/>
            <w:tcMar>
              <w:top w:type="dxa" w:w="50"/>
              <w:left w:type="dxa" w:w="90"/>
              <w:bottom w:type="dxa" w:w="50"/>
              <w:right w:type="dxa" w:w="90"/>
            </w:tcMar>
          </w:tcPr>
          <w:p>
            <w:r>
              <w:rPr>
                <w:sz w:val="18"/>
                <w:szCs w:val="18"/>
              </w:rPr>
              <w:t xml:space="preserve">Field sales in pilot city, launch Google/Meta ads, first case studies</w:t>
            </w:r>
          </w:p>
        </w:tc>
        <w:tc>
          <w:tcPr>
            <w:tcW w:type="dxa" w:w="1700"/>
            <w:shd w:fill="FFFFFF" w:val="clear"/>
            <w:tcMar>
              <w:top w:type="dxa" w:w="50"/>
              <w:left w:type="dxa" w:w="90"/>
              <w:bottom w:type="dxa" w:w="50"/>
              <w:right w:type="dxa" w:w="90"/>
            </w:tcMar>
          </w:tcPr>
          <w:p>
            <w:r>
              <w:rPr>
                <w:sz w:val="18"/>
                <w:szCs w:val="18"/>
              </w:rPr>
              <w:t xml:space="preserve">60</w:t>
            </w:r>
          </w:p>
        </w:tc>
      </w:tr>
      <w:tr>
        <w:tc>
          <w:tcPr>
            <w:tcW w:type="dxa" w:w="900"/>
            <w:shd w:fill="EAF3EF" w:val="clear"/>
            <w:tcMar>
              <w:top w:type="dxa" w:w="50"/>
              <w:left w:type="dxa" w:w="90"/>
              <w:bottom w:type="dxa" w:w="50"/>
              <w:right w:type="dxa" w:w="90"/>
            </w:tcMar>
          </w:tcPr>
          <w:p>
            <w:r>
              <w:rPr>
                <w:sz w:val="18"/>
                <w:szCs w:val="18"/>
              </w:rPr>
              <w:t xml:space="preserve">3</w:t>
            </w:r>
          </w:p>
        </w:tc>
        <w:tc>
          <w:tcPr>
            <w:tcW w:type="dxa" w:w="1900"/>
            <w:shd w:fill="EAF3EF" w:val="clear"/>
            <w:tcMar>
              <w:top w:type="dxa" w:w="50"/>
              <w:left w:type="dxa" w:w="90"/>
              <w:bottom w:type="dxa" w:w="50"/>
              <w:right w:type="dxa" w:w="90"/>
            </w:tcMar>
          </w:tcPr>
          <w:p>
            <w:r>
              <w:rPr>
                <w:sz w:val="18"/>
                <w:szCs w:val="18"/>
              </w:rPr>
              <w:t xml:space="preserve">Channel</w:t>
            </w:r>
          </w:p>
        </w:tc>
        <w:tc>
          <w:tcPr>
            <w:tcW w:type="dxa" w:w="5200"/>
            <w:shd w:fill="EAF3EF" w:val="clear"/>
            <w:tcMar>
              <w:top w:type="dxa" w:w="50"/>
              <w:left w:type="dxa" w:w="90"/>
              <w:bottom w:type="dxa" w:w="50"/>
              <w:right w:type="dxa" w:w="90"/>
            </w:tcMar>
          </w:tcPr>
          <w:p>
            <w:r>
              <w:rPr>
                <w:sz w:val="18"/>
                <w:szCs w:val="18"/>
              </w:rPr>
              <w:t xml:space="preserve">Scale to 10–15 resellers, referral program live, second city</w:t>
            </w:r>
          </w:p>
        </w:tc>
        <w:tc>
          <w:tcPr>
            <w:tcW w:type="dxa" w:w="1700"/>
            <w:shd w:fill="EAF3EF" w:val="clear"/>
            <w:tcMar>
              <w:top w:type="dxa" w:w="50"/>
              <w:left w:type="dxa" w:w="90"/>
              <w:bottom w:type="dxa" w:w="50"/>
              <w:right w:type="dxa" w:w="90"/>
            </w:tcMar>
          </w:tcPr>
          <w:p>
            <w:r>
              <w:rPr>
                <w:sz w:val="18"/>
                <w:szCs w:val="18"/>
              </w:rPr>
              <w:t xml:space="preserve">120</w:t>
            </w:r>
          </w:p>
        </w:tc>
      </w:tr>
      <w:tr>
        <w:tc>
          <w:tcPr>
            <w:tcW w:type="dxa" w:w="900"/>
            <w:shd w:fill="FFFFFF" w:val="clear"/>
            <w:tcMar>
              <w:top w:type="dxa" w:w="50"/>
              <w:left w:type="dxa" w:w="90"/>
              <w:bottom w:type="dxa" w:w="50"/>
              <w:right w:type="dxa" w:w="90"/>
            </w:tcMar>
          </w:tcPr>
          <w:p>
            <w:r>
              <w:rPr>
                <w:sz w:val="18"/>
                <w:szCs w:val="18"/>
              </w:rPr>
              <w:t xml:space="preserve">4</w:t>
            </w:r>
          </w:p>
        </w:tc>
        <w:tc>
          <w:tcPr>
            <w:tcW w:type="dxa" w:w="1900"/>
            <w:shd w:fill="FFFFFF" w:val="clear"/>
            <w:tcMar>
              <w:top w:type="dxa" w:w="50"/>
              <w:left w:type="dxa" w:w="90"/>
              <w:bottom w:type="dxa" w:w="50"/>
              <w:right w:type="dxa" w:w="90"/>
            </w:tcMar>
          </w:tcPr>
          <w:p>
            <w:r>
              <w:rPr>
                <w:sz w:val="18"/>
                <w:szCs w:val="18"/>
              </w:rPr>
              <w:t xml:space="preserve">Scale</w:t>
            </w:r>
          </w:p>
        </w:tc>
        <w:tc>
          <w:tcPr>
            <w:tcW w:type="dxa" w:w="5200"/>
            <w:shd w:fill="FFFFFF" w:val="clear"/>
            <w:tcMar>
              <w:top w:type="dxa" w:w="50"/>
              <w:left w:type="dxa" w:w="90"/>
              <w:bottom w:type="dxa" w:w="50"/>
              <w:right w:type="dxa" w:w="90"/>
            </w:tcMar>
          </w:tcPr>
          <w:p>
            <w:r>
              <w:rPr>
                <w:sz w:val="18"/>
                <w:szCs w:val="18"/>
              </w:rPr>
              <w:t xml:space="preserve">Double ad spend on winning keywords, WhatsApp/SMS onboarding, 3rd city</w:t>
            </w:r>
          </w:p>
        </w:tc>
        <w:tc>
          <w:tcPr>
            <w:tcW w:type="dxa" w:w="1700"/>
            <w:shd w:fill="FFFFFF" w:val="clear"/>
            <w:tcMar>
              <w:top w:type="dxa" w:w="50"/>
              <w:left w:type="dxa" w:w="90"/>
              <w:bottom w:type="dxa" w:w="50"/>
              <w:right w:type="dxa" w:w="90"/>
            </w:tcMar>
          </w:tcPr>
          <w:p>
            <w:r>
              <w:rPr>
                <w:sz w:val="18"/>
                <w:szCs w:val="18"/>
              </w:rPr>
              <w:t xml:space="preserve">200</w:t>
            </w:r>
          </w:p>
        </w:tc>
      </w:tr>
      <w:tr>
        <w:tc>
          <w:tcPr>
            <w:tcW w:type="dxa" w:w="900"/>
            <w:shd w:fill="EAF3EF" w:val="clear"/>
            <w:tcMar>
              <w:top w:type="dxa" w:w="50"/>
              <w:left w:type="dxa" w:w="90"/>
              <w:bottom w:type="dxa" w:w="50"/>
              <w:right w:type="dxa" w:w="90"/>
            </w:tcMar>
          </w:tcPr>
          <w:p>
            <w:r>
              <w:rPr>
                <w:sz w:val="18"/>
                <w:szCs w:val="18"/>
              </w:rPr>
              <w:t xml:space="preserve">5</w:t>
            </w:r>
          </w:p>
        </w:tc>
        <w:tc>
          <w:tcPr>
            <w:tcW w:type="dxa" w:w="1900"/>
            <w:shd w:fill="EAF3EF" w:val="clear"/>
            <w:tcMar>
              <w:top w:type="dxa" w:w="50"/>
              <w:left w:type="dxa" w:w="90"/>
              <w:bottom w:type="dxa" w:w="50"/>
              <w:right w:type="dxa" w:w="90"/>
            </w:tcMar>
          </w:tcPr>
          <w:p>
            <w:r>
              <w:rPr>
                <w:sz w:val="18"/>
                <w:szCs w:val="18"/>
              </w:rPr>
              <w:t xml:space="preserve">Momentum</w:t>
            </w:r>
          </w:p>
        </w:tc>
        <w:tc>
          <w:tcPr>
            <w:tcW w:type="dxa" w:w="5200"/>
            <w:shd w:fill="EAF3EF" w:val="clear"/>
            <w:tcMar>
              <w:top w:type="dxa" w:w="50"/>
              <w:left w:type="dxa" w:w="90"/>
              <w:bottom w:type="dxa" w:w="50"/>
              <w:right w:type="dxa" w:w="90"/>
            </w:tcMar>
          </w:tcPr>
          <w:p>
            <w:r>
              <w:rPr>
                <w:sz w:val="18"/>
                <w:szCs w:val="18"/>
              </w:rPr>
              <w:t xml:space="preserve">Association tie-ups, vernacular content engine, partner leaderboard</w:t>
            </w:r>
          </w:p>
        </w:tc>
        <w:tc>
          <w:tcPr>
            <w:tcW w:type="dxa" w:w="1700"/>
            <w:shd w:fill="EAF3EF" w:val="clear"/>
            <w:tcMar>
              <w:top w:type="dxa" w:w="50"/>
              <w:left w:type="dxa" w:w="90"/>
              <w:bottom w:type="dxa" w:w="50"/>
              <w:right w:type="dxa" w:w="90"/>
            </w:tcMar>
          </w:tcPr>
          <w:p>
            <w:r>
              <w:rPr>
                <w:sz w:val="18"/>
                <w:szCs w:val="18"/>
              </w:rPr>
              <w:t xml:space="preserve">280</w:t>
            </w:r>
          </w:p>
        </w:tc>
      </w:tr>
      <w:tr>
        <w:tc>
          <w:tcPr>
            <w:tcW w:type="dxa" w:w="900"/>
            <w:shd w:fill="FFFFFF" w:val="clear"/>
            <w:tcMar>
              <w:top w:type="dxa" w:w="50"/>
              <w:left w:type="dxa" w:w="90"/>
              <w:bottom w:type="dxa" w:w="50"/>
              <w:right w:type="dxa" w:w="90"/>
            </w:tcMar>
          </w:tcPr>
          <w:p>
            <w:r>
              <w:rPr>
                <w:sz w:val="18"/>
                <w:szCs w:val="18"/>
              </w:rPr>
              <w:t xml:space="preserve">6</w:t>
            </w:r>
          </w:p>
        </w:tc>
        <w:tc>
          <w:tcPr>
            <w:tcW w:type="dxa" w:w="1900"/>
            <w:shd w:fill="FFFFFF" w:val="clear"/>
            <w:tcMar>
              <w:top w:type="dxa" w:w="50"/>
              <w:left w:type="dxa" w:w="90"/>
              <w:bottom w:type="dxa" w:w="50"/>
              <w:right w:type="dxa" w:w="90"/>
            </w:tcMar>
          </w:tcPr>
          <w:p>
            <w:r>
              <w:rPr>
                <w:sz w:val="18"/>
                <w:szCs w:val="18"/>
              </w:rPr>
              <w:t xml:space="preserve">Push</w:t>
            </w:r>
          </w:p>
        </w:tc>
        <w:tc>
          <w:tcPr>
            <w:tcW w:type="dxa" w:w="5200"/>
            <w:shd w:fill="FFFFFF" w:val="clear"/>
            <w:tcMar>
              <w:top w:type="dxa" w:w="50"/>
              <w:left w:type="dxa" w:w="90"/>
              <w:bottom w:type="dxa" w:w="50"/>
              <w:right w:type="dxa" w:w="90"/>
            </w:tcMar>
          </w:tcPr>
          <w:p>
            <w:r>
              <w:rPr>
                <w:sz w:val="18"/>
                <w:szCs w:val="18"/>
              </w:rPr>
              <w:t xml:space="preserve">Year-end/season push, annual-prepay offer, win-back lapsed trials</w:t>
            </w:r>
          </w:p>
        </w:tc>
        <w:tc>
          <w:tcPr>
            <w:tcW w:type="dxa" w:w="1700"/>
            <w:shd w:fill="FFFFFF" w:val="clear"/>
            <w:tcMar>
              <w:top w:type="dxa" w:w="50"/>
              <w:left w:type="dxa" w:w="90"/>
              <w:bottom w:type="dxa" w:w="50"/>
              <w:right w:type="dxa" w:w="90"/>
            </w:tcMar>
          </w:tcPr>
          <w:p>
            <w:r>
              <w:rPr>
                <w:sz w:val="18"/>
                <w:szCs w:val="18"/>
              </w:rPr>
              <w:t xml:space="preserve">320</w:t>
            </w:r>
          </w:p>
        </w:tc>
      </w:tr>
    </w:tbl>
    <w:p>
      <w:pPr>
        <w:spacing w:after="100"/>
      </w:pPr>
      <w:r>
        <w:rPr>
          <w:i/>
          <w:iCs/>
          <w:color w:val="5A5A5A"/>
          <w:sz w:val="21"/>
          <w:szCs w:val="21"/>
        </w:rPr>
        <w:t xml:space="preserve">Cumulative: ~1,000 net-new paid by month 6 (stretch). Base case delivers ~450–600 if only two of the five channels fire.</w:t>
      </w:r>
    </w:p>
    <w:p>
      <w:pPr>
        <w:pStyle w:val="Heading1"/>
        <w:spacing w:after="120" w:before="260"/>
      </w:pPr>
      <w:r>
        <w:rPr>
          <w:b/>
          <w:bCs/>
          <w:color w:val="1F6F54"/>
        </w:rPr>
        <w:t xml:space="preserve">8. The funnel math to 1,000 paid</w:t>
      </w:r>
    </w:p>
    <w:p>
      <w:pPr>
        <w:spacing w:after="100"/>
      </w:pPr>
      <w:r>
        <w:rPr>
          <w:sz w:val="21"/>
          <w:szCs w:val="21"/>
        </w:rPr>
        <w:t xml:space="preserve">Working backward at a 25% trial→paid conversion and a lean channel mix:</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200"/>
      </w:tblGrid>
      <w:tr>
        <w:trPr>
          <w:tblHeader/>
        </w:trPr>
        <w:tc>
          <w:tcPr>
            <w:tcW w:type="dxa" w:w="3200"/>
            <w:shd w:fill="1F6F54" w:val="clear"/>
            <w:tcMar>
              <w:top w:type="dxa" w:w="60"/>
              <w:left w:type="dxa" w:w="90"/>
              <w:bottom w:type="dxa" w:w="60"/>
              <w:right w:type="dxa" w:w="90"/>
            </w:tcMar>
          </w:tcPr>
          <w:p>
            <w:r>
              <w:rPr>
                <w:b/>
                <w:bCs/>
                <w:color w:val="FFFFFF"/>
                <w:sz w:val="19"/>
                <w:szCs w:val="19"/>
              </w:rPr>
              <w:t xml:space="preserve">Stage</w:t>
            </w:r>
          </w:p>
        </w:tc>
        <w:tc>
          <w:tcPr>
            <w:tcW w:type="dxa" w:w="4200"/>
            <w:shd w:fill="1F6F54" w:val="clear"/>
            <w:tcMar>
              <w:top w:type="dxa" w:w="60"/>
              <w:left w:type="dxa" w:w="90"/>
              <w:bottom w:type="dxa" w:w="60"/>
              <w:right w:type="dxa" w:w="90"/>
            </w:tcMar>
          </w:tcPr>
          <w:p>
            <w:r>
              <w:rPr>
                <w:b/>
                <w:bCs/>
                <w:color w:val="FFFFFF"/>
                <w:sz w:val="19"/>
                <w:szCs w:val="19"/>
              </w:rPr>
              <w:t xml:space="preserve">Assumption</w:t>
            </w:r>
          </w:p>
        </w:tc>
        <w:tc>
          <w:tcPr>
            <w:tcW w:type="dxa" w:w="2200"/>
            <w:shd w:fill="1F6F54" w:val="clear"/>
            <w:tcMar>
              <w:top w:type="dxa" w:w="60"/>
              <w:left w:type="dxa" w:w="90"/>
              <w:bottom w:type="dxa" w:w="60"/>
              <w:right w:type="dxa" w:w="90"/>
            </w:tcMar>
          </w:tcPr>
          <w:p>
            <w:r>
              <w:rPr>
                <w:b/>
                <w:bCs/>
                <w:color w:val="FFFFFF"/>
                <w:sz w:val="19"/>
                <w:szCs w:val="19"/>
              </w:rPr>
              <w:t xml:space="preserve">6-month total needed</w:t>
            </w:r>
          </w:p>
        </w:tc>
      </w:tr>
      <w:tr>
        <w:tc>
          <w:tcPr>
            <w:tcW w:type="dxa" w:w="3200"/>
            <w:shd w:fill="EAF3EF" w:val="clear"/>
            <w:tcMar>
              <w:top w:type="dxa" w:w="50"/>
              <w:left w:type="dxa" w:w="90"/>
              <w:bottom w:type="dxa" w:w="50"/>
              <w:right w:type="dxa" w:w="90"/>
            </w:tcMar>
          </w:tcPr>
          <w:p>
            <w:r>
              <w:rPr>
                <w:sz w:val="18"/>
                <w:szCs w:val="18"/>
              </w:rPr>
              <w:t xml:space="preserve">Paying customers</w:t>
            </w:r>
          </w:p>
        </w:tc>
        <w:tc>
          <w:tcPr>
            <w:tcW w:type="dxa" w:w="4200"/>
            <w:shd w:fill="EAF3EF" w:val="clear"/>
            <w:tcMar>
              <w:top w:type="dxa" w:w="50"/>
              <w:left w:type="dxa" w:w="90"/>
              <w:bottom w:type="dxa" w:w="50"/>
              <w:right w:type="dxa" w:w="90"/>
            </w:tcMar>
          </w:tcPr>
          <w:p>
            <w:r>
              <w:rPr>
                <w:sz w:val="18"/>
                <w:szCs w:val="18"/>
              </w:rPr>
              <w:t xml:space="preserve">Goal</w:t>
            </w:r>
          </w:p>
        </w:tc>
        <w:tc>
          <w:tcPr>
            <w:tcW w:type="dxa" w:w="2200"/>
            <w:shd w:fill="EAF3EF" w:val="clear"/>
            <w:tcMar>
              <w:top w:type="dxa" w:w="50"/>
              <w:left w:type="dxa" w:w="90"/>
              <w:bottom w:type="dxa" w:w="50"/>
              <w:right w:type="dxa" w:w="90"/>
            </w:tcMar>
          </w:tcPr>
          <w:p>
            <w:r>
              <w:rPr>
                <w:sz w:val="18"/>
                <w:szCs w:val="18"/>
              </w:rPr>
              <w:t xml:space="preserve">1,000</w:t>
            </w:r>
          </w:p>
        </w:tc>
      </w:tr>
      <w:tr>
        <w:tc>
          <w:tcPr>
            <w:tcW w:type="dxa" w:w="3200"/>
            <w:shd w:fill="FFFFFF" w:val="clear"/>
            <w:tcMar>
              <w:top w:type="dxa" w:w="50"/>
              <w:left w:type="dxa" w:w="90"/>
              <w:bottom w:type="dxa" w:w="50"/>
              <w:right w:type="dxa" w:w="90"/>
            </w:tcMar>
          </w:tcPr>
          <w:p>
            <w:r>
              <w:rPr>
                <w:sz w:val="18"/>
                <w:szCs w:val="18"/>
              </w:rPr>
              <w:t xml:space="preserve">Free trials started</w:t>
            </w:r>
          </w:p>
        </w:tc>
        <w:tc>
          <w:tcPr>
            <w:tcW w:type="dxa" w:w="4200"/>
            <w:shd w:fill="FFFFFF" w:val="clear"/>
            <w:tcMar>
              <w:top w:type="dxa" w:w="50"/>
              <w:left w:type="dxa" w:w="90"/>
              <w:bottom w:type="dxa" w:w="50"/>
              <w:right w:type="dxa" w:w="90"/>
            </w:tcMar>
          </w:tcPr>
          <w:p>
            <w:r>
              <w:rPr>
                <w:sz w:val="18"/>
                <w:szCs w:val="18"/>
              </w:rPr>
              <w:t xml:space="preserve">25% convert to paid</w:t>
            </w:r>
          </w:p>
        </w:tc>
        <w:tc>
          <w:tcPr>
            <w:tcW w:type="dxa" w:w="2200"/>
            <w:shd w:fill="FFFFFF" w:val="clear"/>
            <w:tcMar>
              <w:top w:type="dxa" w:w="50"/>
              <w:left w:type="dxa" w:w="90"/>
              <w:bottom w:type="dxa" w:w="50"/>
              <w:right w:type="dxa" w:w="90"/>
            </w:tcMar>
          </w:tcPr>
          <w:p>
            <w:r>
              <w:rPr>
                <w:sz w:val="18"/>
                <w:szCs w:val="18"/>
              </w:rPr>
              <w:t xml:space="preserve">~4,000</w:t>
            </w:r>
          </w:p>
        </w:tc>
      </w:tr>
      <w:tr>
        <w:tc>
          <w:tcPr>
            <w:tcW w:type="dxa" w:w="3200"/>
            <w:shd w:fill="EAF3EF" w:val="clear"/>
            <w:tcMar>
              <w:top w:type="dxa" w:w="50"/>
              <w:left w:type="dxa" w:w="90"/>
              <w:bottom w:type="dxa" w:w="50"/>
              <w:right w:type="dxa" w:w="90"/>
            </w:tcMar>
          </w:tcPr>
          <w:p>
            <w:r>
              <w:rPr>
                <w:sz w:val="18"/>
                <w:szCs w:val="18"/>
              </w:rPr>
              <w:t xml:space="preserve">Qualified demos / signups</w:t>
            </w:r>
          </w:p>
        </w:tc>
        <w:tc>
          <w:tcPr>
            <w:tcW w:type="dxa" w:w="4200"/>
            <w:shd w:fill="EAF3EF" w:val="clear"/>
            <w:tcMar>
              <w:top w:type="dxa" w:w="50"/>
              <w:left w:type="dxa" w:w="90"/>
              <w:bottom w:type="dxa" w:w="50"/>
              <w:right w:type="dxa" w:w="90"/>
            </w:tcMar>
          </w:tcPr>
          <w:p>
            <w:r>
              <w:rPr>
                <w:sz w:val="18"/>
                <w:szCs w:val="18"/>
              </w:rPr>
              <w:t xml:space="preserve">~50% start a trial</w:t>
            </w:r>
          </w:p>
        </w:tc>
        <w:tc>
          <w:tcPr>
            <w:tcW w:type="dxa" w:w="2200"/>
            <w:shd w:fill="EAF3EF" w:val="clear"/>
            <w:tcMar>
              <w:top w:type="dxa" w:w="50"/>
              <w:left w:type="dxa" w:w="90"/>
              <w:bottom w:type="dxa" w:w="50"/>
              <w:right w:type="dxa" w:w="90"/>
            </w:tcMar>
          </w:tcPr>
          <w:p>
            <w:r>
              <w:rPr>
                <w:sz w:val="18"/>
                <w:szCs w:val="18"/>
              </w:rPr>
              <w:t xml:space="preserve">~8,000</w:t>
            </w:r>
          </w:p>
        </w:tc>
      </w:tr>
      <w:tr>
        <w:tc>
          <w:tcPr>
            <w:tcW w:type="dxa" w:w="3200"/>
            <w:shd w:fill="FFFFFF" w:val="clear"/>
            <w:tcMar>
              <w:top w:type="dxa" w:w="50"/>
              <w:left w:type="dxa" w:w="90"/>
              <w:bottom w:type="dxa" w:w="50"/>
              <w:right w:type="dxa" w:w="90"/>
            </w:tcMar>
          </w:tcPr>
          <w:p>
            <w:r>
              <w:rPr>
                <w:sz w:val="18"/>
                <w:szCs w:val="18"/>
              </w:rPr>
              <w:t xml:space="preserve">Leads (all channels)</w:t>
            </w:r>
          </w:p>
        </w:tc>
        <w:tc>
          <w:tcPr>
            <w:tcW w:type="dxa" w:w="4200"/>
            <w:shd w:fill="FFFFFF" w:val="clear"/>
            <w:tcMar>
              <w:top w:type="dxa" w:w="50"/>
              <w:left w:type="dxa" w:w="90"/>
              <w:bottom w:type="dxa" w:w="50"/>
              <w:right w:type="dxa" w:w="90"/>
            </w:tcMar>
          </w:tcPr>
          <w:p>
            <w:r>
              <w:rPr>
                <w:sz w:val="18"/>
                <w:szCs w:val="18"/>
              </w:rPr>
              <w:t xml:space="preserve">reseller + field + ads + referral</w:t>
            </w:r>
          </w:p>
        </w:tc>
        <w:tc>
          <w:tcPr>
            <w:tcW w:type="dxa" w:w="2200"/>
            <w:shd w:fill="FFFFFF" w:val="clear"/>
            <w:tcMar>
              <w:top w:type="dxa" w:w="50"/>
              <w:left w:type="dxa" w:w="90"/>
              <w:bottom w:type="dxa" w:w="50"/>
              <w:right w:type="dxa" w:w="90"/>
            </w:tcMar>
          </w:tcPr>
          <w:p>
            <w:r>
              <w:rPr>
                <w:sz w:val="18"/>
                <w:szCs w:val="18"/>
              </w:rPr>
              <w:t xml:space="preserve">~25,000–30,000</w:t>
            </w:r>
          </w:p>
        </w:tc>
      </w:tr>
      <w:tr>
        <w:tc>
          <w:tcPr>
            <w:tcW w:type="dxa" w:w="3200"/>
            <w:shd w:fill="EAF3EF" w:val="clear"/>
            <w:tcMar>
              <w:top w:type="dxa" w:w="50"/>
              <w:left w:type="dxa" w:w="90"/>
              <w:bottom w:type="dxa" w:w="50"/>
              <w:right w:type="dxa" w:w="90"/>
            </w:tcMar>
          </w:tcPr>
          <w:p>
            <w:r>
              <w:rPr>
                <w:sz w:val="18"/>
                <w:szCs w:val="18"/>
              </w:rPr>
              <w:t xml:space="preserve">Resellers active</w:t>
            </w:r>
          </w:p>
        </w:tc>
        <w:tc>
          <w:tcPr>
            <w:tcW w:type="dxa" w:w="4200"/>
            <w:shd w:fill="EAF3EF" w:val="clear"/>
            <w:tcMar>
              <w:top w:type="dxa" w:w="50"/>
              <w:left w:type="dxa" w:w="90"/>
              <w:bottom w:type="dxa" w:w="50"/>
              <w:right w:type="dxa" w:w="90"/>
            </w:tcMar>
          </w:tcPr>
          <w:p>
            <w:r>
              <w:rPr>
                <w:sz w:val="18"/>
                <w:szCs w:val="18"/>
              </w:rPr>
              <w:t xml:space="preserve">~12 partners × ~10 closes/mo × 6</w:t>
            </w:r>
          </w:p>
        </w:tc>
        <w:tc>
          <w:tcPr>
            <w:tcW w:type="dxa" w:w="2200"/>
            <w:shd w:fill="EAF3EF" w:val="clear"/>
            <w:tcMar>
              <w:top w:type="dxa" w:w="50"/>
              <w:left w:type="dxa" w:w="90"/>
              <w:bottom w:type="dxa" w:w="50"/>
              <w:right w:type="dxa" w:w="90"/>
            </w:tcMar>
          </w:tcPr>
          <w:p>
            <w:r>
              <w:rPr>
                <w:sz w:val="18"/>
                <w:szCs w:val="18"/>
              </w:rPr>
              <w:t xml:space="preserve">~700 via channel</w:t>
            </w:r>
          </w:p>
        </w:tc>
      </w:tr>
      <w:tr>
        <w:tc>
          <w:tcPr>
            <w:tcW w:type="dxa" w:w="3200"/>
            <w:shd w:fill="FFFFFF" w:val="clear"/>
            <w:tcMar>
              <w:top w:type="dxa" w:w="50"/>
              <w:left w:type="dxa" w:w="90"/>
              <w:bottom w:type="dxa" w:w="50"/>
              <w:right w:type="dxa" w:w="90"/>
            </w:tcMar>
          </w:tcPr>
          <w:p>
            <w:r>
              <w:rPr>
                <w:sz w:val="18"/>
                <w:szCs w:val="18"/>
              </w:rPr>
              <w:t xml:space="preserve">Digital + field + referral</w:t>
            </w:r>
          </w:p>
        </w:tc>
        <w:tc>
          <w:tcPr>
            <w:tcW w:type="dxa" w:w="4200"/>
            <w:shd w:fill="FFFFFF" w:val="clear"/>
            <w:tcMar>
              <w:top w:type="dxa" w:w="50"/>
              <w:left w:type="dxa" w:w="90"/>
              <w:bottom w:type="dxa" w:w="50"/>
              <w:right w:type="dxa" w:w="90"/>
            </w:tcMar>
          </w:tcPr>
          <w:p>
            <w:r>
              <w:rPr>
                <w:sz w:val="18"/>
                <w:szCs w:val="18"/>
              </w:rPr>
              <w:t xml:space="preserve">remainder</w:t>
            </w:r>
          </w:p>
        </w:tc>
        <w:tc>
          <w:tcPr>
            <w:tcW w:type="dxa" w:w="2200"/>
            <w:shd w:fill="FFFFFF" w:val="clear"/>
            <w:tcMar>
              <w:top w:type="dxa" w:w="50"/>
              <w:left w:type="dxa" w:w="90"/>
              <w:bottom w:type="dxa" w:w="50"/>
              <w:right w:type="dxa" w:w="90"/>
            </w:tcMar>
          </w:tcPr>
          <w:p>
            <w:r>
              <w:rPr>
                <w:sz w:val="18"/>
                <w:szCs w:val="18"/>
              </w:rPr>
              <w:t xml:space="preserve">~300</w:t>
            </w:r>
          </w:p>
        </w:tc>
      </w:tr>
    </w:tbl>
    <w:p>
      <w:pPr>
        <w:spacing w:after="100"/>
      </w:pPr>
      <w:r>
        <w:rPr>
          <w:b/>
          <w:bCs/>
          <w:color w:val="C0392B"/>
          <w:sz w:val="21"/>
          <w:szCs w:val="21"/>
        </w:rPr>
        <w:t xml:space="preserve">Reality check: </w:t>
      </w:r>
      <w:r>
        <w:rPr>
          <w:sz w:val="21"/>
          <w:szCs w:val="21"/>
        </w:rPr>
        <w:t xml:space="preserve">the channel line is the make-or-break. If you cannot stand up ~12 productive resellers by month 3, 1,000 is out of reach and ~500 becomes the honest target. Track trial→paid weekly; if it dips below 20%, fix onboarding before spending more on ads.</w:t>
      </w:r>
    </w:p>
    <w:p>
      <w:r>
        <w:br w:type="page"/>
      </w:r>
    </w:p>
    <w:p>
      <w:pPr>
        <w:pStyle w:val="Heading1"/>
        <w:spacing w:after="120" w:before="260"/>
      </w:pPr>
      <w:r>
        <w:rPr>
          <w:b/>
          <w:bCs/>
          <w:color w:val="1F6F54"/>
        </w:rPr>
        <w:t xml:space="preserve">9. Sustainability &amp; unit economics</w:t>
      </w:r>
    </w:p>
    <w:p>
      <w:pPr>
        <w:pStyle w:val="Heading2"/>
        <w:spacing w:after="80" w:before="180"/>
      </w:pPr>
      <w:r>
        <w:rPr>
          <w:b/>
          <w:bCs/>
          <w:color w:val="222222"/>
        </w:rPr>
        <w:t xml:space="preserve">Per-customer economics (at ₹9,999 blended ARPU)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600"/>
      </w:tblGrid>
      <w:tr>
        <w:trPr>
          <w:tblHeader/>
        </w:trPr>
        <w:tc>
          <w:tcPr>
            <w:tcW w:type="dxa" w:w="3200"/>
            <w:shd w:fill="1F6F54" w:val="clear"/>
            <w:tcMar>
              <w:top w:type="dxa" w:w="60"/>
              <w:left w:type="dxa" w:w="90"/>
              <w:bottom w:type="dxa" w:w="60"/>
              <w:right w:type="dxa" w:w="90"/>
            </w:tcMar>
          </w:tcPr>
          <w:p>
            <w:r>
              <w:rPr>
                <w:b/>
                <w:bCs/>
                <w:color w:val="FFFFFF"/>
                <w:sz w:val="19"/>
                <w:szCs w:val="19"/>
              </w:rPr>
              <w:t xml:space="preserve">Metric</w:t>
            </w:r>
          </w:p>
        </w:tc>
        <w:tc>
          <w:tcPr>
            <w:tcW w:type="dxa" w:w="2800"/>
            <w:shd w:fill="1F6F54" w:val="clear"/>
            <w:tcMar>
              <w:top w:type="dxa" w:w="60"/>
              <w:left w:type="dxa" w:w="90"/>
              <w:bottom w:type="dxa" w:w="60"/>
              <w:right w:type="dxa" w:w="90"/>
            </w:tcMar>
          </w:tcPr>
          <w:p>
            <w:r>
              <w:rPr>
                <w:b/>
                <w:bCs/>
                <w:color w:val="FFFFFF"/>
                <w:sz w:val="19"/>
                <w:szCs w:val="19"/>
              </w:rPr>
              <w:t xml:space="preserve">Value</w:t>
            </w:r>
          </w:p>
        </w:tc>
        <w:tc>
          <w:tcPr>
            <w:tcW w:type="dxa" w:w="3600"/>
            <w:shd w:fill="1F6F54" w:val="clear"/>
            <w:tcMar>
              <w:top w:type="dxa" w:w="60"/>
              <w:left w:type="dxa" w:w="90"/>
              <w:bottom w:type="dxa" w:w="60"/>
              <w:right w:type="dxa" w:w="90"/>
            </w:tcMar>
          </w:tcPr>
          <w:p>
            <w:r>
              <w:rPr>
                <w:b/>
                <w:bCs/>
                <w:color w:val="FFFFFF"/>
                <w:sz w:val="19"/>
                <w:szCs w:val="19"/>
              </w:rPr>
              <w:t xml:space="preserve">Note</w:t>
            </w:r>
          </w:p>
        </w:tc>
      </w:tr>
      <w:tr>
        <w:tc>
          <w:tcPr>
            <w:tcW w:type="dxa" w:w="3200"/>
            <w:shd w:fill="EAF3EF" w:val="clear"/>
            <w:tcMar>
              <w:top w:type="dxa" w:w="50"/>
              <w:left w:type="dxa" w:w="90"/>
              <w:bottom w:type="dxa" w:w="50"/>
              <w:right w:type="dxa" w:w="90"/>
            </w:tcMar>
          </w:tcPr>
          <w:p>
            <w:r>
              <w:rPr>
                <w:sz w:val="18"/>
                <w:szCs w:val="18"/>
              </w:rPr>
              <w:t xml:space="preserve">ARPU</w:t>
            </w:r>
          </w:p>
        </w:tc>
        <w:tc>
          <w:tcPr>
            <w:tcW w:type="dxa" w:w="2800"/>
            <w:shd w:fill="EAF3EF" w:val="clear"/>
            <w:tcMar>
              <w:top w:type="dxa" w:w="50"/>
              <w:left w:type="dxa" w:w="90"/>
              <w:bottom w:type="dxa" w:w="50"/>
              <w:right w:type="dxa" w:w="90"/>
            </w:tcMar>
          </w:tcPr>
          <w:p>
            <w:r>
              <w:rPr>
                <w:sz w:val="18"/>
                <w:szCs w:val="18"/>
              </w:rPr>
              <w:t xml:space="preserve">₹9,999/yr (~₹833/mo)</w:t>
            </w:r>
          </w:p>
        </w:tc>
        <w:tc>
          <w:tcPr>
            <w:tcW w:type="dxa" w:w="3600"/>
            <w:shd w:fill="EAF3EF" w:val="clear"/>
            <w:tcMar>
              <w:top w:type="dxa" w:w="50"/>
              <w:left w:type="dxa" w:w="90"/>
              <w:bottom w:type="dxa" w:w="50"/>
              <w:right w:type="dxa" w:w="90"/>
            </w:tcMar>
          </w:tcPr>
          <w:p>
            <w:r>
              <w:rPr>
                <w:sz w:val="18"/>
                <w:szCs w:val="18"/>
              </w:rPr>
              <w:t xml:space="preserve">Blended Starter/Pro</w:t>
            </w:r>
          </w:p>
        </w:tc>
      </w:tr>
      <w:tr>
        <w:tc>
          <w:tcPr>
            <w:tcW w:type="dxa" w:w="3200"/>
            <w:shd w:fill="FFFFFF" w:val="clear"/>
            <w:tcMar>
              <w:top w:type="dxa" w:w="50"/>
              <w:left w:type="dxa" w:w="90"/>
              <w:bottom w:type="dxa" w:w="50"/>
              <w:right w:type="dxa" w:w="90"/>
            </w:tcMar>
          </w:tcPr>
          <w:p>
            <w:r>
              <w:rPr>
                <w:sz w:val="18"/>
                <w:szCs w:val="18"/>
              </w:rPr>
              <w:t xml:space="preserve">Gross margin</w:t>
            </w:r>
          </w:p>
        </w:tc>
        <w:tc>
          <w:tcPr>
            <w:tcW w:type="dxa" w:w="2800"/>
            <w:shd w:fill="FFFFFF" w:val="clear"/>
            <w:tcMar>
              <w:top w:type="dxa" w:w="50"/>
              <w:left w:type="dxa" w:w="90"/>
              <w:bottom w:type="dxa" w:w="50"/>
              <w:right w:type="dxa" w:w="90"/>
            </w:tcMar>
          </w:tcPr>
          <w:p>
            <w:r>
              <w:rPr>
                <w:sz w:val="18"/>
                <w:szCs w:val="18"/>
              </w:rPr>
              <w:t xml:space="preserve">~85%</w:t>
            </w:r>
          </w:p>
        </w:tc>
        <w:tc>
          <w:tcPr>
            <w:tcW w:type="dxa" w:w="3600"/>
            <w:shd w:fill="FFFFFF" w:val="clear"/>
            <w:tcMar>
              <w:top w:type="dxa" w:w="50"/>
              <w:left w:type="dxa" w:w="90"/>
              <w:bottom w:type="dxa" w:w="50"/>
              <w:right w:type="dxa" w:w="90"/>
            </w:tcMar>
          </w:tcPr>
          <w:p>
            <w:r>
              <w:rPr>
                <w:sz w:val="18"/>
                <w:szCs w:val="18"/>
              </w:rPr>
              <w:t xml:space="preserve">SaaS infra is a small % of revenue</w:t>
            </w:r>
          </w:p>
        </w:tc>
      </w:tr>
      <w:tr>
        <w:tc>
          <w:tcPr>
            <w:tcW w:type="dxa" w:w="3200"/>
            <w:shd w:fill="EAF3EF" w:val="clear"/>
            <w:tcMar>
              <w:top w:type="dxa" w:w="50"/>
              <w:left w:type="dxa" w:w="90"/>
              <w:bottom w:type="dxa" w:w="50"/>
              <w:right w:type="dxa" w:w="90"/>
            </w:tcMar>
          </w:tcPr>
          <w:p>
            <w:r>
              <w:rPr>
                <w:sz w:val="18"/>
                <w:szCs w:val="18"/>
              </w:rPr>
              <w:t xml:space="preserve">Target CAC (blended)</w:t>
            </w:r>
          </w:p>
        </w:tc>
        <w:tc>
          <w:tcPr>
            <w:tcW w:type="dxa" w:w="2800"/>
            <w:shd w:fill="EAF3EF" w:val="clear"/>
            <w:tcMar>
              <w:top w:type="dxa" w:w="50"/>
              <w:left w:type="dxa" w:w="90"/>
              <w:bottom w:type="dxa" w:w="50"/>
              <w:right w:type="dxa" w:w="90"/>
            </w:tcMar>
          </w:tcPr>
          <w:p>
            <w:r>
              <w:rPr>
                <w:sz w:val="18"/>
                <w:szCs w:val="18"/>
              </w:rPr>
              <w:t xml:space="preserve">&lt; ₹2,500</w:t>
            </w:r>
          </w:p>
        </w:tc>
        <w:tc>
          <w:tcPr>
            <w:tcW w:type="dxa" w:w="3600"/>
            <w:shd w:fill="EAF3EF" w:val="clear"/>
            <w:tcMar>
              <w:top w:type="dxa" w:w="50"/>
              <w:left w:type="dxa" w:w="90"/>
              <w:bottom w:type="dxa" w:w="50"/>
              <w:right w:type="dxa" w:w="90"/>
            </w:tcMar>
          </w:tcPr>
          <w:p>
            <w:r>
              <w:rPr>
                <w:sz w:val="18"/>
                <w:szCs w:val="18"/>
              </w:rPr>
              <w:t xml:space="preserve">Ads + reseller commission amortised</w:t>
            </w:r>
          </w:p>
        </w:tc>
      </w:tr>
      <w:tr>
        <w:tc>
          <w:tcPr>
            <w:tcW w:type="dxa" w:w="3200"/>
            <w:shd w:fill="FFFFFF" w:val="clear"/>
            <w:tcMar>
              <w:top w:type="dxa" w:w="50"/>
              <w:left w:type="dxa" w:w="90"/>
              <w:bottom w:type="dxa" w:w="50"/>
              <w:right w:type="dxa" w:w="90"/>
            </w:tcMar>
          </w:tcPr>
          <w:p>
            <w:r>
              <w:rPr>
                <w:sz w:val="18"/>
                <w:szCs w:val="18"/>
              </w:rPr>
              <w:t xml:space="preserve">Monthly churn (target)</w:t>
            </w:r>
          </w:p>
        </w:tc>
        <w:tc>
          <w:tcPr>
            <w:tcW w:type="dxa" w:w="2800"/>
            <w:shd w:fill="FFFFFF" w:val="clear"/>
            <w:tcMar>
              <w:top w:type="dxa" w:w="50"/>
              <w:left w:type="dxa" w:w="90"/>
              <w:bottom w:type="dxa" w:w="50"/>
              <w:right w:type="dxa" w:w="90"/>
            </w:tcMar>
          </w:tcPr>
          <w:p>
            <w:r>
              <w:rPr>
                <w:sz w:val="18"/>
                <w:szCs w:val="18"/>
              </w:rPr>
              <w:t xml:space="preserve">&lt; 3%</w:t>
            </w:r>
          </w:p>
        </w:tc>
        <w:tc>
          <w:tcPr>
            <w:tcW w:type="dxa" w:w="3600"/>
            <w:shd w:fill="FFFFFF" w:val="clear"/>
            <w:tcMar>
              <w:top w:type="dxa" w:w="50"/>
              <w:left w:type="dxa" w:w="90"/>
              <w:bottom w:type="dxa" w:w="50"/>
              <w:right w:type="dxa" w:w="90"/>
            </w:tcMar>
          </w:tcPr>
          <w:p>
            <w:r>
              <w:rPr>
                <w:sz w:val="18"/>
                <w:szCs w:val="18"/>
              </w:rPr>
              <w:t xml:space="preserve">SMB norm is 3–7%; annual prepay helps</w:t>
            </w:r>
          </w:p>
        </w:tc>
      </w:tr>
      <w:tr>
        <w:tc>
          <w:tcPr>
            <w:tcW w:type="dxa" w:w="3200"/>
            <w:shd w:fill="EAF3EF" w:val="clear"/>
            <w:tcMar>
              <w:top w:type="dxa" w:w="50"/>
              <w:left w:type="dxa" w:w="90"/>
              <w:bottom w:type="dxa" w:w="50"/>
              <w:right w:type="dxa" w:w="90"/>
            </w:tcMar>
          </w:tcPr>
          <w:p>
            <w:r>
              <w:rPr>
                <w:sz w:val="18"/>
                <w:szCs w:val="18"/>
              </w:rPr>
              <w:t xml:space="preserve">Est. customer lifetime</w:t>
            </w:r>
          </w:p>
        </w:tc>
        <w:tc>
          <w:tcPr>
            <w:tcW w:type="dxa" w:w="2800"/>
            <w:shd w:fill="EAF3EF" w:val="clear"/>
            <w:tcMar>
              <w:top w:type="dxa" w:w="50"/>
              <w:left w:type="dxa" w:w="90"/>
              <w:bottom w:type="dxa" w:w="50"/>
              <w:right w:type="dxa" w:w="90"/>
            </w:tcMar>
          </w:tcPr>
          <w:p>
            <w:r>
              <w:rPr>
                <w:sz w:val="18"/>
                <w:szCs w:val="18"/>
              </w:rPr>
              <w:t xml:space="preserve">~28–33 months</w:t>
            </w:r>
          </w:p>
        </w:tc>
        <w:tc>
          <w:tcPr>
            <w:tcW w:type="dxa" w:w="3600"/>
            <w:shd w:fill="EAF3EF" w:val="clear"/>
            <w:tcMar>
              <w:top w:type="dxa" w:w="50"/>
              <w:left w:type="dxa" w:w="90"/>
              <w:bottom w:type="dxa" w:w="50"/>
              <w:right w:type="dxa" w:w="90"/>
            </w:tcMar>
          </w:tcPr>
          <w:p>
            <w:r>
              <w:rPr>
                <w:sz w:val="18"/>
                <w:szCs w:val="18"/>
              </w:rPr>
              <w:t xml:space="preserve">At 3–3.5% monthly churn</w:t>
            </w:r>
          </w:p>
        </w:tc>
      </w:tr>
      <w:tr>
        <w:tc>
          <w:tcPr>
            <w:tcW w:type="dxa" w:w="3200"/>
            <w:shd w:fill="FFFFFF" w:val="clear"/>
            <w:tcMar>
              <w:top w:type="dxa" w:w="50"/>
              <w:left w:type="dxa" w:w="90"/>
              <w:bottom w:type="dxa" w:w="50"/>
              <w:right w:type="dxa" w:w="90"/>
            </w:tcMar>
          </w:tcPr>
          <w:p>
            <w:r>
              <w:rPr>
                <w:sz w:val="18"/>
                <w:szCs w:val="18"/>
              </w:rPr>
              <w:t xml:space="preserve">LTV (gross-margin adj.)</w:t>
            </w:r>
          </w:p>
        </w:tc>
        <w:tc>
          <w:tcPr>
            <w:tcW w:type="dxa" w:w="2800"/>
            <w:shd w:fill="FFFFFF" w:val="clear"/>
            <w:tcMar>
              <w:top w:type="dxa" w:w="50"/>
              <w:left w:type="dxa" w:w="90"/>
              <w:bottom w:type="dxa" w:w="50"/>
              <w:right w:type="dxa" w:w="90"/>
            </w:tcMar>
          </w:tcPr>
          <w:p>
            <w:r>
              <w:rPr>
                <w:sz w:val="18"/>
                <w:szCs w:val="18"/>
              </w:rPr>
              <w:t xml:space="preserve">~₹19,000–24,000</w:t>
            </w:r>
          </w:p>
        </w:tc>
        <w:tc>
          <w:tcPr>
            <w:tcW w:type="dxa" w:w="3600"/>
            <w:shd w:fill="FFFFFF" w:val="clear"/>
            <w:tcMar>
              <w:top w:type="dxa" w:w="50"/>
              <w:left w:type="dxa" w:w="90"/>
              <w:bottom w:type="dxa" w:w="50"/>
              <w:right w:type="dxa" w:w="90"/>
            </w:tcMar>
          </w:tcPr>
          <w:p>
            <w:r>
              <w:rPr>
                <w:sz w:val="18"/>
                <w:szCs w:val="18"/>
              </w:rPr>
              <w:t xml:space="preserve">LTV/CAC ≈ 8x if CAC held low</w:t>
            </w:r>
          </w:p>
        </w:tc>
      </w:tr>
    </w:tbl>
    <w:p>
      <w:pPr>
        <w:pStyle w:val="Heading2"/>
        <w:spacing w:after="80" w:before="180"/>
      </w:pPr>
      <w:r>
        <w:rPr>
          <w:b/>
          <w:bCs/>
          <w:color w:val="222222"/>
        </w:rPr>
        <w:t xml:space="preserve">Business at 1,000 paid</w:t>
      </w:r>
    </w:p>
    <w:p>
      <w:pPr>
        <w:pStyle w:val="ListParagraph"/>
        <w:numPr>
          <w:ilvl w:val="0"/>
          <w:numId w:val="2"/>
        </w:numPr>
        <w:spacing w:after="60"/>
      </w:pPr>
      <w:r>
        <w:rPr>
          <w:sz w:val="21"/>
          <w:szCs w:val="21"/>
        </w:rPr>
        <w:t xml:space="preserve">ARR ≈ ₹1 crore (1,000 × ₹9,999). Very high gross margin.</w:t>
      </w:r>
    </w:p>
    <w:p>
      <w:pPr>
        <w:pStyle w:val="ListParagraph"/>
        <w:numPr>
          <w:ilvl w:val="0"/>
          <w:numId w:val="2"/>
        </w:numPr>
        <w:spacing w:after="60"/>
      </w:pPr>
      <w:r>
        <w:rPr>
          <w:sz w:val="21"/>
          <w:szCs w:val="21"/>
        </w:rPr>
        <w:t xml:space="preserve">Main variable cost = reseller commissions (20–30%) + ad spend; infra stays cheap (paid Render + Neon ≈ ₹8–15k/mo at this scale).</w:t>
      </w:r>
    </w:p>
    <w:p>
      <w:pPr>
        <w:pStyle w:val="ListParagraph"/>
        <w:numPr>
          <w:ilvl w:val="0"/>
          <w:numId w:val="2"/>
        </w:numPr>
        <w:spacing w:after="60"/>
      </w:pPr>
      <w:r>
        <w:rPr>
          <w:sz w:val="21"/>
          <w:szCs w:val="21"/>
        </w:rPr>
        <w:t xml:space="preserve">A solo founder can be cash-flow positive early; reinvest commissions/ads out of revenue rather than external capital.</w:t>
      </w:r>
    </w:p>
    <w:p>
      <w:pPr>
        <w:pStyle w:val="Heading2"/>
        <w:spacing w:after="80" w:before="180"/>
      </w:pPr>
      <w:r>
        <w:rPr>
          <w:b/>
          <w:bCs/>
          <w:color w:val="222222"/>
        </w:rPr>
        <w:t xml:space="preserve">How we sustain it (retention is the whole game)</w:t>
      </w:r>
    </w:p>
    <w:p>
      <w:pPr>
        <w:pStyle w:val="ListParagraph"/>
        <w:numPr>
          <w:ilvl w:val="0"/>
          <w:numId w:val="2"/>
        </w:numPr>
        <w:spacing w:after="60"/>
      </w:pPr>
      <w:r>
        <w:rPr>
          <w:sz w:val="21"/>
          <w:szCs w:val="21"/>
        </w:rPr>
        <w:t xml:space="preserve">Onboard hard: get the restaurant billing real orders within 24 hours — activated accounts churn far less.</w:t>
      </w:r>
    </w:p>
    <w:p>
      <w:pPr>
        <w:pStyle w:val="ListParagraph"/>
        <w:numPr>
          <w:ilvl w:val="0"/>
          <w:numId w:val="2"/>
        </w:numPr>
        <w:spacing w:after="60"/>
      </w:pPr>
      <w:r>
        <w:rPr>
          <w:sz w:val="21"/>
          <w:szCs w:val="21"/>
        </w:rPr>
        <w:t xml:space="preserve">Daily-use stickiness + data gravity (their menu, sales history, loyalty base) make switching painful.</w:t>
      </w:r>
    </w:p>
    <w:p>
      <w:pPr>
        <w:pStyle w:val="ListParagraph"/>
        <w:numPr>
          <w:ilvl w:val="0"/>
          <w:numId w:val="2"/>
        </w:numPr>
        <w:spacing w:after="60"/>
      </w:pPr>
      <w:r>
        <w:rPr>
          <w:sz w:val="21"/>
          <w:szCs w:val="21"/>
        </w:rPr>
        <w:t xml:space="preserve">Annual prepay + 2-months-free removes 11 monthly churn decisions per customer.</w:t>
      </w:r>
    </w:p>
    <w:p>
      <w:pPr>
        <w:pStyle w:val="ListParagraph"/>
        <w:numPr>
          <w:ilvl w:val="0"/>
          <w:numId w:val="2"/>
        </w:numPr>
        <w:spacing w:after="60"/>
      </w:pPr>
      <w:r>
        <w:rPr>
          <w:sz w:val="21"/>
          <w:szCs w:val="21"/>
        </w:rPr>
        <w:t xml:space="preserve">Expansion revenue (addons, extra outlets) drives NRR toward/above 100% so growth compounds even with some logo churn.</w:t>
      </w:r>
    </w:p>
    <w:p>
      <w:pPr>
        <w:pStyle w:val="ListParagraph"/>
        <w:numPr>
          <w:ilvl w:val="0"/>
          <w:numId w:val="2"/>
        </w:numPr>
        <w:spacing w:after="60"/>
      </w:pPr>
      <w:r>
        <w:rPr>
          <w:sz w:val="21"/>
          <w:szCs w:val="21"/>
        </w:rPr>
        <w:t xml:space="preserve">Proactive support: usage alerts (no orders in 3 days → call them) catch churn before it happens.</w:t>
      </w:r>
    </w:p>
    <w:p>
      <w:pPr>
        <w:pStyle w:val="ListParagraph"/>
        <w:numPr>
          <w:ilvl w:val="0"/>
          <w:numId w:val="2"/>
        </w:numPr>
        <w:spacing w:after="60"/>
      </w:pPr>
      <w:r>
        <w:rPr>
          <w:sz w:val="21"/>
          <w:szCs w:val="21"/>
        </w:rPr>
        <w:t xml:space="preserve">Reliability: the keep-alive layers and offline-first app protect the "it just works during dinner rush" reputation that referrals depend on.</w:t>
      </w:r>
    </w:p>
    <w:p>
      <w:pPr>
        <w:pStyle w:val="Heading1"/>
        <w:spacing w:after="120" w:before="260"/>
      </w:pPr>
      <w:r>
        <w:rPr>
          <w:b/>
          <w:bCs/>
          <w:color w:val="1F6F54"/>
        </w:rPr>
        <w:t xml:space="preserve">10. Key risks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4200"/>
            <w:shd w:fill="1F6F54" w:val="clear"/>
            <w:tcMar>
              <w:top w:type="dxa" w:w="60"/>
              <w:left w:type="dxa" w:w="90"/>
              <w:bottom w:type="dxa" w:w="60"/>
              <w:right w:type="dxa" w:w="90"/>
            </w:tcMar>
          </w:tcPr>
          <w:p>
            <w:r>
              <w:rPr>
                <w:b/>
                <w:bCs/>
                <w:color w:val="FFFFFF"/>
                <w:sz w:val="19"/>
                <w:szCs w:val="19"/>
              </w:rPr>
              <w:t xml:space="preserve">Risk</w:t>
            </w:r>
          </w:p>
        </w:tc>
        <w:tc>
          <w:tcPr>
            <w:tcW w:type="dxa" w:w="5400"/>
            <w:shd w:fill="1F6F54" w:val="clear"/>
            <w:tcMar>
              <w:top w:type="dxa" w:w="60"/>
              <w:left w:type="dxa" w:w="90"/>
              <w:bottom w:type="dxa" w:w="60"/>
              <w:right w:type="dxa" w:w="90"/>
            </w:tcMar>
          </w:tcPr>
          <w:p>
            <w:r>
              <w:rPr>
                <w:b/>
                <w:bCs/>
                <w:color w:val="FFFFFF"/>
                <w:sz w:val="19"/>
                <w:szCs w:val="19"/>
              </w:rPr>
              <w:t xml:space="preserve">Mitigation</w:t>
            </w:r>
          </w:p>
        </w:tc>
      </w:tr>
      <w:tr>
        <w:tc>
          <w:tcPr>
            <w:tcW w:type="dxa" w:w="4200"/>
            <w:shd w:fill="EAF3EF" w:val="clear"/>
            <w:tcMar>
              <w:top w:type="dxa" w:w="50"/>
              <w:left w:type="dxa" w:w="90"/>
              <w:bottom w:type="dxa" w:w="50"/>
              <w:right w:type="dxa" w:w="90"/>
            </w:tcMar>
          </w:tcPr>
          <w:p>
            <w:r>
              <w:rPr>
                <w:sz w:val="18"/>
                <w:szCs w:val="18"/>
              </w:rPr>
              <w:t xml:space="preserve">Entrenched Petpooja + reseller armies</w:t>
            </w:r>
          </w:p>
        </w:tc>
        <w:tc>
          <w:tcPr>
            <w:tcW w:type="dxa" w:w="5400"/>
            <w:shd w:fill="EAF3EF" w:val="clear"/>
            <w:tcMar>
              <w:top w:type="dxa" w:w="50"/>
              <w:left w:type="dxa" w:w="90"/>
              <w:bottom w:type="dxa" w:w="50"/>
              <w:right w:type="dxa" w:w="90"/>
            </w:tcMar>
          </w:tcPr>
          <w:p>
            <w:r>
              <w:rPr>
                <w:sz w:val="18"/>
                <w:szCs w:val="18"/>
              </w:rPr>
              <w:t xml:space="preserve">Compete on price + transparency + mobile/offline; win a city cluster before going wide.</w:t>
            </w:r>
          </w:p>
        </w:tc>
      </w:tr>
      <w:tr>
        <w:tc>
          <w:tcPr>
            <w:tcW w:type="dxa" w:w="4200"/>
            <w:shd w:fill="FFFFFF" w:val="clear"/>
            <w:tcMar>
              <w:top w:type="dxa" w:w="50"/>
              <w:left w:type="dxa" w:w="90"/>
              <w:bottom w:type="dxa" w:w="50"/>
              <w:right w:type="dxa" w:w="90"/>
            </w:tcMar>
          </w:tcPr>
          <w:p>
            <w:r>
              <w:rPr>
                <w:sz w:val="18"/>
                <w:szCs w:val="18"/>
              </w:rPr>
              <w:t xml:space="preserve">Distribution is the bottleneck</w:t>
            </w:r>
          </w:p>
        </w:tc>
        <w:tc>
          <w:tcPr>
            <w:tcW w:type="dxa" w:w="5400"/>
            <w:shd w:fill="FFFFFF" w:val="clear"/>
            <w:tcMar>
              <w:top w:type="dxa" w:w="50"/>
              <w:left w:type="dxa" w:w="90"/>
              <w:bottom w:type="dxa" w:w="50"/>
              <w:right w:type="dxa" w:w="90"/>
            </w:tcMar>
          </w:tcPr>
          <w:p>
            <w:r>
              <w:rPr>
                <w:sz w:val="18"/>
                <w:szCs w:val="18"/>
              </w:rPr>
              <w:t xml:space="preserve">Channel-first; sign resellers early; don’t over-invest in features pre-traction.</w:t>
            </w:r>
          </w:p>
        </w:tc>
      </w:tr>
      <w:tr>
        <w:tc>
          <w:tcPr>
            <w:tcW w:type="dxa" w:w="4200"/>
            <w:shd w:fill="EAF3EF" w:val="clear"/>
            <w:tcMar>
              <w:top w:type="dxa" w:w="50"/>
              <w:left w:type="dxa" w:w="90"/>
              <w:bottom w:type="dxa" w:w="50"/>
              <w:right w:type="dxa" w:w="90"/>
            </w:tcMar>
          </w:tcPr>
          <w:p>
            <w:r>
              <w:rPr>
                <w:sz w:val="18"/>
                <w:szCs w:val="18"/>
              </w:rPr>
              <w:t xml:space="preserve">Solo-founder support/bus-factor</w:t>
            </w:r>
          </w:p>
        </w:tc>
        <w:tc>
          <w:tcPr>
            <w:tcW w:type="dxa" w:w="5400"/>
            <w:shd w:fill="EAF3EF" w:val="clear"/>
            <w:tcMar>
              <w:top w:type="dxa" w:w="50"/>
              <w:left w:type="dxa" w:w="90"/>
              <w:bottom w:type="dxa" w:w="50"/>
              <w:right w:type="dxa" w:w="90"/>
            </w:tcMar>
          </w:tcPr>
          <w:p>
            <w:r>
              <w:rPr>
                <w:sz w:val="18"/>
                <w:szCs w:val="18"/>
              </w:rPr>
              <w:t xml:space="preserve">Self-serve onboarding, docs/video, a part-time support hire by ~300 accounts.</w:t>
            </w:r>
          </w:p>
        </w:tc>
      </w:tr>
      <w:tr>
        <w:tc>
          <w:tcPr>
            <w:tcW w:type="dxa" w:w="4200"/>
            <w:shd w:fill="FFFFFF" w:val="clear"/>
            <w:tcMar>
              <w:top w:type="dxa" w:w="50"/>
              <w:left w:type="dxa" w:w="90"/>
              <w:bottom w:type="dxa" w:w="50"/>
              <w:right w:type="dxa" w:w="90"/>
            </w:tcMar>
          </w:tcPr>
          <w:p>
            <w:r>
              <w:rPr>
                <w:sz w:val="18"/>
                <w:szCs w:val="18"/>
              </w:rPr>
              <w:t xml:space="preserve">SMB churn 3–7%/mo</w:t>
            </w:r>
          </w:p>
        </w:tc>
        <w:tc>
          <w:tcPr>
            <w:tcW w:type="dxa" w:w="5400"/>
            <w:shd w:fill="FFFFFF" w:val="clear"/>
            <w:tcMar>
              <w:top w:type="dxa" w:w="50"/>
              <w:left w:type="dxa" w:w="90"/>
              <w:bottom w:type="dxa" w:w="50"/>
              <w:right w:type="dxa" w:w="90"/>
            </w:tcMar>
          </w:tcPr>
          <w:p>
            <w:r>
              <w:rPr>
                <w:sz w:val="18"/>
                <w:szCs w:val="18"/>
              </w:rPr>
              <w:t xml:space="preserve">Activation + annual prepay + proactive save plays.</w:t>
            </w:r>
          </w:p>
        </w:tc>
      </w:tr>
      <w:tr>
        <w:tc>
          <w:tcPr>
            <w:tcW w:type="dxa" w:w="4200"/>
            <w:shd w:fill="EAF3EF" w:val="clear"/>
            <w:tcMar>
              <w:top w:type="dxa" w:w="50"/>
              <w:left w:type="dxa" w:w="90"/>
              <w:bottom w:type="dxa" w:w="50"/>
              <w:right w:type="dxa" w:w="90"/>
            </w:tcMar>
          </w:tcPr>
          <w:p>
            <w:r>
              <w:rPr>
                <w:sz w:val="18"/>
                <w:szCs w:val="18"/>
              </w:rPr>
              <w:t xml:space="preserve">Billing free-activation bug</w:t>
            </w:r>
          </w:p>
        </w:tc>
        <w:tc>
          <w:tcPr>
            <w:tcW w:type="dxa" w:w="5400"/>
            <w:shd w:fill="EAF3EF" w:val="clear"/>
            <w:tcMar>
              <w:top w:type="dxa" w:w="50"/>
              <w:left w:type="dxa" w:w="90"/>
              <w:bottom w:type="dxa" w:w="50"/>
              <w:right w:type="dxa" w:w="90"/>
            </w:tcMar>
          </w:tcPr>
          <w:p>
            <w:r>
              <w:rPr>
                <w:sz w:val="18"/>
                <w:szCs w:val="18"/>
              </w:rPr>
              <w:t xml:space="preserve">Ship the production hard-fail guard before live billing.</w:t>
            </w:r>
          </w:p>
        </w:tc>
      </w:tr>
      <w:tr>
        <w:tc>
          <w:tcPr>
            <w:tcW w:type="dxa" w:w="4200"/>
            <w:shd w:fill="FFFFFF" w:val="clear"/>
            <w:tcMar>
              <w:top w:type="dxa" w:w="50"/>
              <w:left w:type="dxa" w:w="90"/>
              <w:bottom w:type="dxa" w:w="50"/>
              <w:right w:type="dxa" w:w="90"/>
            </w:tcMar>
          </w:tcPr>
          <w:p>
            <w:r>
              <w:rPr>
                <w:sz w:val="18"/>
                <w:szCs w:val="18"/>
              </w:rPr>
              <w:t xml:space="preserve">Free-tier infra limits</w:t>
            </w:r>
          </w:p>
        </w:tc>
        <w:tc>
          <w:tcPr>
            <w:tcW w:type="dxa" w:w="5400"/>
            <w:shd w:fill="FFFFFF" w:val="clear"/>
            <w:tcMar>
              <w:top w:type="dxa" w:w="50"/>
              <w:left w:type="dxa" w:w="90"/>
              <w:bottom w:type="dxa" w:w="50"/>
              <w:right w:type="dxa" w:w="90"/>
            </w:tcMar>
          </w:tcPr>
          <w:p>
            <w:r>
              <w:rPr>
                <w:sz w:val="18"/>
                <w:szCs w:val="18"/>
              </w:rPr>
              <w:t xml:space="preserve">Move to paid Render/Neon before scale (keep-alive already in place).</w:t>
            </w:r>
          </w:p>
        </w:tc>
      </w:tr>
    </w:tbl>
    <w:p>
      <w:pPr>
        <w:pStyle w:val="Heading1"/>
        <w:spacing w:after="120" w:before="260"/>
      </w:pPr>
      <w:r>
        <w:rPr>
          <w:b/>
          <w:bCs/>
          <w:color w:val="1F6F54"/>
        </w:rPr>
        <w:t xml:space="preserve">11. Next 30 / 60 / 90 days</w:t>
      </w:r>
    </w:p>
    <w:p>
      <w:pPr>
        <w:pStyle w:val="Heading2"/>
        <w:spacing w:after="80" w:before="180"/>
      </w:pPr>
      <w:r>
        <w:rPr>
          <w:b/>
          <w:bCs/>
          <w:color w:val="222222"/>
        </w:rPr>
        <w:t xml:space="preserve">First 30 days</w:t>
      </w:r>
    </w:p>
    <w:p>
      <w:pPr>
        <w:pStyle w:val="ListParagraph"/>
        <w:numPr>
          <w:ilvl w:val="0"/>
          <w:numId w:val="3"/>
        </w:numPr>
        <w:spacing w:after="60"/>
      </w:pPr>
      <w:r>
        <w:rPr>
          <w:sz w:val="21"/>
          <w:szCs w:val="21"/>
        </w:rPr>
        <w:t xml:space="preserve">Complete Razorpay KYC → live billing. Ship billing free-activation guard + money-in-paise.</w:t>
      </w:r>
    </w:p>
    <w:p>
      <w:pPr>
        <w:pStyle w:val="ListParagraph"/>
        <w:numPr>
          <w:ilvl w:val="0"/>
          <w:numId w:val="3"/>
        </w:numPr>
        <w:spacing w:after="60"/>
      </w:pPr>
      <w:r>
        <w:rPr>
          <w:sz w:val="21"/>
          <w:szCs w:val="21"/>
        </w:rPr>
        <w:t xml:space="preserve">Build guided onboarding + one-click sample menu import; record a 3-minute demo video.</w:t>
      </w:r>
    </w:p>
    <w:p>
      <w:pPr>
        <w:pStyle w:val="ListParagraph"/>
        <w:numPr>
          <w:ilvl w:val="0"/>
          <w:numId w:val="3"/>
        </w:numPr>
        <w:spacing w:after="60"/>
      </w:pPr>
      <w:r>
        <w:rPr>
          <w:sz w:val="21"/>
          <w:szCs w:val="21"/>
        </w:rPr>
        <w:t xml:space="preserve">Recruit first 5 resellers; pick pilot city; get 20 paying restaurants.</w:t>
      </w:r>
    </w:p>
    <w:p>
      <w:pPr>
        <w:pStyle w:val="Heading2"/>
        <w:spacing w:after="80" w:before="180"/>
      </w:pPr>
      <w:r>
        <w:rPr>
          <w:b/>
          <w:bCs/>
          <w:color w:val="222222"/>
        </w:rPr>
        <w:t xml:space="preserve">Days 31–60</w:t>
      </w:r>
    </w:p>
    <w:p>
      <w:pPr>
        <w:pStyle w:val="ListParagraph"/>
        <w:numPr>
          <w:ilvl w:val="0"/>
          <w:numId w:val="3"/>
        </w:numPr>
        <w:spacing w:after="60"/>
      </w:pPr>
      <w:r>
        <w:rPr>
          <w:sz w:val="21"/>
          <w:szCs w:val="21"/>
        </w:rPr>
        <w:t xml:space="preserve">Launch Google + Meta ads on "Petpooja alternative"; publish 2 case studies.</w:t>
      </w:r>
    </w:p>
    <w:p>
      <w:pPr>
        <w:pStyle w:val="ListParagraph"/>
        <w:numPr>
          <w:ilvl w:val="0"/>
          <w:numId w:val="3"/>
        </w:numPr>
        <w:spacing w:after="60"/>
      </w:pPr>
      <w:r>
        <w:rPr>
          <w:sz w:val="21"/>
          <w:szCs w:val="21"/>
        </w:rPr>
        <w:t xml:space="preserve">Field-sales sprint in pilot city; referral program live; reach ~80 cumulative paid.</w:t>
      </w:r>
    </w:p>
    <w:p>
      <w:pPr>
        <w:pStyle w:val="ListParagraph"/>
        <w:numPr>
          <w:ilvl w:val="0"/>
          <w:numId w:val="3"/>
        </w:numPr>
        <w:spacing w:after="60"/>
      </w:pPr>
      <w:r>
        <w:rPr>
          <w:sz w:val="21"/>
          <w:szCs w:val="21"/>
        </w:rPr>
        <w:t xml:space="preserve">Stand up a simple reseller portal + commission tracking.</w:t>
      </w:r>
    </w:p>
    <w:p>
      <w:pPr>
        <w:pStyle w:val="Heading2"/>
        <w:spacing w:after="80" w:before="180"/>
      </w:pPr>
      <w:r>
        <w:rPr>
          <w:b/>
          <w:bCs/>
          <w:color w:val="222222"/>
        </w:rPr>
        <w:t xml:space="preserve">Days 61–90</w:t>
      </w:r>
    </w:p>
    <w:p>
      <w:pPr>
        <w:pStyle w:val="ListParagraph"/>
        <w:numPr>
          <w:ilvl w:val="0"/>
          <w:numId w:val="3"/>
        </w:numPr>
        <w:spacing w:after="60"/>
      </w:pPr>
      <w:r>
        <w:rPr>
          <w:sz w:val="21"/>
          <w:szCs w:val="21"/>
        </w:rPr>
        <w:t xml:space="preserve">Scale to 12–15 active resellers; open second city; add SMS/WhatsApp onboarding.</w:t>
      </w:r>
    </w:p>
    <w:p>
      <w:pPr>
        <w:pStyle w:val="ListParagraph"/>
        <w:numPr>
          <w:ilvl w:val="0"/>
          <w:numId w:val="3"/>
        </w:numPr>
        <w:spacing w:after="60"/>
      </w:pPr>
      <w:r>
        <w:rPr>
          <w:sz w:val="21"/>
          <w:szCs w:val="21"/>
        </w:rPr>
        <w:t xml:space="preserve">Add reporting depth + Hindi UI; instrument trial→paid and churn dashboards.</w:t>
      </w:r>
    </w:p>
    <w:p>
      <w:pPr>
        <w:pStyle w:val="ListParagraph"/>
        <w:numPr>
          <w:ilvl w:val="0"/>
          <w:numId w:val="3"/>
        </w:numPr>
        <w:spacing w:after="60"/>
      </w:pPr>
      <w:r>
        <w:rPr>
          <w:sz w:val="21"/>
          <w:szCs w:val="21"/>
        </w:rPr>
        <w:t xml:space="preserve">Target ~200 cumulative paid and a repeatable channel motion.</w:t>
      </w:r>
    </w:p>
    <w:p>
      <w:pPr>
        <w:pBdr>
          <w:top w:val="single" w:color="1F6F54" w:sz="6"/>
        </w:pBdr>
        <w:spacing w:before="300"/>
      </w:pPr>
      <w:r>
        <w:rPr>
          <w:i/>
          <w:iCs/>
          <w:color w:val="222222"/>
          <w:sz w:val="20"/>
          <w:szCs w:val="20"/>
        </w:rPr>
        <w:t xml:space="preserve">Honest verdict: the product can carry 1,000 customers; the question is distribution and retention, not features. Fix billing + money handling, go Razorpay-live, and pour energy into the reseller channel and onboarding. Plan for ~500 as the base case and treat 1,000 as the stretch that a firing channel + ads make possible.</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38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2026-08-26T07:54:36.659Z</dcterms:created>
  <dcterms:modified xsi:type="dcterms:W3CDTF">2026-08-26T07:54:36.659Z</dcterms:modified>
</cp:coreProperties>
</file>

<file path=docProps/custom.xml><?xml version="1.0" encoding="utf-8"?>
<Properties xmlns="http://schemas.openxmlformats.org/officeDocument/2006/custom-properties" xmlns:vt="http://schemas.openxmlformats.org/officeDocument/2006/docPropsVTypes"/>
</file>