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77A" w:rsidRDefault="00B836BB">
      <w:pPr>
        <w:pStyle w:val="Heading1"/>
      </w:pPr>
      <w:r>
        <w:t>Executive Summary –</w:t>
      </w:r>
      <w:bookmarkStart w:id="0" w:name="_GoBack"/>
      <w:bookmarkEnd w:id="0"/>
      <w:r>
        <w:t xml:space="preserve"> Telecom Customer Churn Analysis</w:t>
      </w:r>
    </w:p>
    <w:p w:rsidR="0022177A" w:rsidRDefault="00B836BB">
      <w:pPr>
        <w:pStyle w:val="Heading2"/>
      </w:pPr>
      <w:r>
        <w:t>Objective</w:t>
      </w:r>
    </w:p>
    <w:p w:rsidR="0022177A" w:rsidRDefault="00B836BB">
      <w:r>
        <w:t xml:space="preserve">The primary goal of this analysis was to identify key drivers of customer churn within the telecom dataset and to understand behavioral and contractual patterns associated with customers </w:t>
      </w:r>
      <w:r>
        <w:t>leaving the service. Churn is defined as customers who discontinued the service within the observation period.</w:t>
      </w:r>
    </w:p>
    <w:p w:rsidR="0022177A" w:rsidRDefault="00B836BB">
      <w:pPr>
        <w:pStyle w:val="Heading2"/>
      </w:pPr>
      <w:r>
        <w:t>Data Preparation and Cleaning</w:t>
      </w:r>
    </w:p>
    <w:p w:rsidR="0022177A" w:rsidRDefault="00B836BB">
      <w:r>
        <w:t>• Missing or blank TotalCharges values were replaced with 0, corresponding to new customers with zero tenure.</w:t>
      </w:r>
      <w:r>
        <w:br/>
        <w:t xml:space="preserve">• </w:t>
      </w:r>
      <w:r>
        <w:t>The SeniorCitizen variable was converted from binary (0/1) to categorical (Yes/No) for clarity.</w:t>
      </w:r>
      <w:r>
        <w:br/>
        <w:t>• Minor categorical inconsistencies were standardized for accurate grouping.</w:t>
      </w:r>
    </w:p>
    <w:p w:rsidR="0022177A" w:rsidRDefault="00B836BB">
      <w:pPr>
        <w:pStyle w:val="Heading2"/>
      </w:pPr>
      <w:r>
        <w:t>Overall Churn Overview</w:t>
      </w:r>
    </w:p>
    <w:p w:rsidR="0022177A" w:rsidRDefault="00B836BB">
      <w:r>
        <w:t>From the analyzed customer base, 26.54% of customers chur</w:t>
      </w:r>
      <w:r>
        <w:t>ned, while 73.46% remained active. This means roughly one in four customers discontinued service, representing a significant retention challenge.</w:t>
      </w:r>
    </w:p>
    <w:p w:rsidR="0022177A" w:rsidRDefault="00B836BB">
      <w:pPr>
        <w:pStyle w:val="Heading2"/>
      </w:pPr>
      <w:r>
        <w:t>Demographic Insights</w:t>
      </w:r>
    </w:p>
    <w:p w:rsidR="0022177A" w:rsidRDefault="00B836BB">
      <w:r>
        <w:t>• Senior Citizens: Around 42% of senior citizens churned compared to 24% of non-senior</w:t>
      </w:r>
      <w:r>
        <w:t>s, nearly twice as likely to churn.</w:t>
      </w:r>
      <w:r>
        <w:br/>
        <w:t>• Customers without partners or dependents showed 10–15% higher churn rates, indicating higher loyalty among family-oriented users.</w:t>
      </w:r>
    </w:p>
    <w:p w:rsidR="0022177A" w:rsidRDefault="00B836BB">
      <w:pPr>
        <w:pStyle w:val="Heading2"/>
      </w:pPr>
      <w:r>
        <w:t>Tenure-Based Analysis</w:t>
      </w:r>
    </w:p>
    <w:p w:rsidR="0022177A" w:rsidRDefault="00B836BB">
      <w:r>
        <w:t>•</w:t>
      </w:r>
      <w:r>
        <w:t xml:space="preserve"> Customers with tenure below 12 months accounted for over 50% </w:t>
      </w:r>
      <w:r>
        <w:t>of all churned customers.</w:t>
      </w:r>
      <w:r>
        <w:br/>
        <w:t>• Customers with tenure over 3 years had a churn rate below 10%, showing strong loyalty.</w:t>
      </w:r>
      <w:r>
        <w:br/>
        <w:t>The first year of service is thus the most critical for retention efforts.</w:t>
      </w:r>
    </w:p>
    <w:p w:rsidR="0022177A" w:rsidRDefault="00B836BB">
      <w:pPr>
        <w:pStyle w:val="Heading2"/>
      </w:pPr>
      <w:r>
        <w:t>Contract Type and Billing Method</w:t>
      </w:r>
    </w:p>
    <w:p w:rsidR="0022177A" w:rsidRDefault="00B836BB">
      <w:r>
        <w:t>• Month-to-month contract hold</w:t>
      </w:r>
      <w:r>
        <w:t>ers showed a 43% churn rate, compared to 11% (1-year) and 3% (2-year contracts).</w:t>
      </w:r>
      <w:r>
        <w:br/>
        <w:t>• Customers using electronic checks churned at 45%, compared to 15–20% for other payment methods.</w:t>
      </w:r>
    </w:p>
    <w:p w:rsidR="0022177A" w:rsidRDefault="00B836BB">
      <w:pPr>
        <w:pStyle w:val="Heading2"/>
      </w:pPr>
      <w:r>
        <w:t>Internet and Tech-Related Services</w:t>
      </w:r>
    </w:p>
    <w:p w:rsidR="0022177A" w:rsidRDefault="00B836BB">
      <w:r>
        <w:t>• Customers without internet had the lo</w:t>
      </w:r>
      <w:r>
        <w:t>west churn (~7%).</w:t>
      </w:r>
      <w:r>
        <w:br/>
        <w:t>• Fiber optic customers churned at 42%, DSL users at 19%.</w:t>
      </w:r>
      <w:r>
        <w:br/>
      </w:r>
      <w:r>
        <w:lastRenderedPageBreak/>
        <w:t>• Add-ons like Online Security, Tech Support, and Device Protection reduced churn by up to 20%.</w:t>
      </w:r>
    </w:p>
    <w:p w:rsidR="0022177A" w:rsidRDefault="00B836BB">
      <w:pPr>
        <w:pStyle w:val="Heading2"/>
      </w:pPr>
      <w:r>
        <w:t>Streaming &amp; Entertainment Services</w:t>
      </w:r>
    </w:p>
    <w:p w:rsidR="0022177A" w:rsidRDefault="00B836BB">
      <w:r>
        <w:t>Customers subscribed to StreamingTV and Stream</w:t>
      </w:r>
      <w:r>
        <w:t>ingMovies had churn around 30%, showing entertainment add-ons do not strongly influence loyalty.</w:t>
      </w:r>
    </w:p>
    <w:p w:rsidR="0022177A" w:rsidRDefault="00B836BB">
      <w:pPr>
        <w:pStyle w:val="Heading2"/>
      </w:pPr>
      <w:r>
        <w:t>Strategic Recommendations</w:t>
      </w:r>
    </w:p>
    <w:p w:rsidR="0022177A" w:rsidRDefault="00B836BB">
      <w:r>
        <w:t>1. Focus retention efforts on new customers (&lt;1 year tenure).</w:t>
      </w:r>
      <w:r>
        <w:br/>
        <w:t>2. Incentivize longer contracts through discounts.</w:t>
      </w:r>
      <w:r>
        <w:br/>
        <w:t>3. Develop loyalt</w:t>
      </w:r>
      <w:r>
        <w:t>y offers for senior citizens.</w:t>
      </w:r>
      <w:r>
        <w:br/>
        <w:t>4. Promote bundled security and tech support services.</w:t>
      </w:r>
      <w:r>
        <w:br/>
        <w:t>5. Encourage stable payment methods to reduce churn volatility.</w:t>
      </w:r>
    </w:p>
    <w:p w:rsidR="0022177A" w:rsidRDefault="00B836BB">
      <w:pPr>
        <w:pStyle w:val="Heading2"/>
      </w:pPr>
      <w:r>
        <w:t>Summary Metrics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2177A">
        <w:tc>
          <w:tcPr>
            <w:tcW w:w="4320" w:type="dxa"/>
          </w:tcPr>
          <w:p w:rsidR="0022177A" w:rsidRDefault="00B836BB">
            <w:r>
              <w:t>Metric</w:t>
            </w:r>
          </w:p>
        </w:tc>
        <w:tc>
          <w:tcPr>
            <w:tcW w:w="4320" w:type="dxa"/>
          </w:tcPr>
          <w:p w:rsidR="0022177A" w:rsidRDefault="00B836BB">
            <w:r>
              <w:t>Percentage</w:t>
            </w:r>
          </w:p>
        </w:tc>
      </w:tr>
      <w:tr w:rsidR="0022177A">
        <w:tc>
          <w:tcPr>
            <w:tcW w:w="4320" w:type="dxa"/>
          </w:tcPr>
          <w:p w:rsidR="0022177A" w:rsidRDefault="00B836BB">
            <w:r>
              <w:t>Overall Churn Rate</w:t>
            </w:r>
          </w:p>
        </w:tc>
        <w:tc>
          <w:tcPr>
            <w:tcW w:w="4320" w:type="dxa"/>
          </w:tcPr>
          <w:p w:rsidR="0022177A" w:rsidRDefault="00B836BB">
            <w:r>
              <w:t>26.54%</w:t>
            </w:r>
          </w:p>
        </w:tc>
      </w:tr>
      <w:tr w:rsidR="0022177A">
        <w:tc>
          <w:tcPr>
            <w:tcW w:w="4320" w:type="dxa"/>
          </w:tcPr>
          <w:p w:rsidR="0022177A" w:rsidRDefault="00B836BB">
            <w:r>
              <w:t>Senior Citizen Churn Rate</w:t>
            </w:r>
          </w:p>
        </w:tc>
        <w:tc>
          <w:tcPr>
            <w:tcW w:w="4320" w:type="dxa"/>
          </w:tcPr>
          <w:p w:rsidR="0022177A" w:rsidRDefault="00B836BB">
            <w:r>
              <w:t>42%</w:t>
            </w:r>
          </w:p>
        </w:tc>
      </w:tr>
      <w:tr w:rsidR="0022177A">
        <w:tc>
          <w:tcPr>
            <w:tcW w:w="4320" w:type="dxa"/>
          </w:tcPr>
          <w:p w:rsidR="0022177A" w:rsidRDefault="00B836BB">
            <w:r>
              <w:t xml:space="preserve">Non-Senior </w:t>
            </w:r>
            <w:r>
              <w:t>Churn Rate</w:t>
            </w:r>
          </w:p>
        </w:tc>
        <w:tc>
          <w:tcPr>
            <w:tcW w:w="4320" w:type="dxa"/>
          </w:tcPr>
          <w:p w:rsidR="0022177A" w:rsidRDefault="00B836BB">
            <w:r>
              <w:t>24%</w:t>
            </w:r>
          </w:p>
        </w:tc>
      </w:tr>
      <w:tr w:rsidR="0022177A">
        <w:tc>
          <w:tcPr>
            <w:tcW w:w="4320" w:type="dxa"/>
          </w:tcPr>
          <w:p w:rsidR="0022177A" w:rsidRDefault="00B836BB">
            <w:r>
              <w:t>Month-to-Month Churn</w:t>
            </w:r>
          </w:p>
        </w:tc>
        <w:tc>
          <w:tcPr>
            <w:tcW w:w="4320" w:type="dxa"/>
          </w:tcPr>
          <w:p w:rsidR="0022177A" w:rsidRDefault="00B836BB">
            <w:r>
              <w:t>43%</w:t>
            </w:r>
          </w:p>
        </w:tc>
      </w:tr>
      <w:tr w:rsidR="0022177A">
        <w:tc>
          <w:tcPr>
            <w:tcW w:w="4320" w:type="dxa"/>
          </w:tcPr>
          <w:p w:rsidR="0022177A" w:rsidRDefault="00B836BB">
            <w:r>
              <w:t>One-Year Contract Churn</w:t>
            </w:r>
          </w:p>
        </w:tc>
        <w:tc>
          <w:tcPr>
            <w:tcW w:w="4320" w:type="dxa"/>
          </w:tcPr>
          <w:p w:rsidR="0022177A" w:rsidRDefault="00B836BB">
            <w:r>
              <w:t>11%</w:t>
            </w:r>
          </w:p>
        </w:tc>
      </w:tr>
      <w:tr w:rsidR="0022177A">
        <w:tc>
          <w:tcPr>
            <w:tcW w:w="4320" w:type="dxa"/>
          </w:tcPr>
          <w:p w:rsidR="0022177A" w:rsidRDefault="00B836BB">
            <w:r>
              <w:t>Two-Year Contract Churn</w:t>
            </w:r>
          </w:p>
        </w:tc>
        <w:tc>
          <w:tcPr>
            <w:tcW w:w="4320" w:type="dxa"/>
          </w:tcPr>
          <w:p w:rsidR="0022177A" w:rsidRDefault="00B836BB">
            <w:r>
              <w:t>3%</w:t>
            </w:r>
          </w:p>
        </w:tc>
      </w:tr>
      <w:tr w:rsidR="0022177A">
        <w:tc>
          <w:tcPr>
            <w:tcW w:w="4320" w:type="dxa"/>
          </w:tcPr>
          <w:p w:rsidR="0022177A" w:rsidRDefault="00B836BB">
            <w:r>
              <w:t>Fiber Optic Churn</w:t>
            </w:r>
          </w:p>
        </w:tc>
        <w:tc>
          <w:tcPr>
            <w:tcW w:w="4320" w:type="dxa"/>
          </w:tcPr>
          <w:p w:rsidR="0022177A" w:rsidRDefault="00B836BB">
            <w:r>
              <w:t>~42%</w:t>
            </w:r>
          </w:p>
        </w:tc>
      </w:tr>
      <w:tr w:rsidR="0022177A">
        <w:tc>
          <w:tcPr>
            <w:tcW w:w="4320" w:type="dxa"/>
          </w:tcPr>
          <w:p w:rsidR="0022177A" w:rsidRDefault="00B836BB">
            <w:r>
              <w:t>DSL Churn</w:t>
            </w:r>
          </w:p>
        </w:tc>
        <w:tc>
          <w:tcPr>
            <w:tcW w:w="4320" w:type="dxa"/>
          </w:tcPr>
          <w:p w:rsidR="0022177A" w:rsidRDefault="00B836BB">
            <w:r>
              <w:t>~19%</w:t>
            </w:r>
          </w:p>
        </w:tc>
      </w:tr>
      <w:tr w:rsidR="0022177A">
        <w:tc>
          <w:tcPr>
            <w:tcW w:w="4320" w:type="dxa"/>
          </w:tcPr>
          <w:p w:rsidR="0022177A" w:rsidRDefault="00B836BB">
            <w:r>
              <w:t>Tenure &lt; 12 months Churn</w:t>
            </w:r>
          </w:p>
        </w:tc>
        <w:tc>
          <w:tcPr>
            <w:tcW w:w="4320" w:type="dxa"/>
          </w:tcPr>
          <w:p w:rsidR="0022177A" w:rsidRDefault="00B836BB">
            <w:r>
              <w:t>&gt;50%</w:t>
            </w:r>
          </w:p>
        </w:tc>
      </w:tr>
      <w:tr w:rsidR="0022177A">
        <w:tc>
          <w:tcPr>
            <w:tcW w:w="4320" w:type="dxa"/>
          </w:tcPr>
          <w:p w:rsidR="0022177A" w:rsidRDefault="00B836BB">
            <w:r>
              <w:t>Tenure &gt; 3 years Churn</w:t>
            </w:r>
          </w:p>
        </w:tc>
        <w:tc>
          <w:tcPr>
            <w:tcW w:w="4320" w:type="dxa"/>
          </w:tcPr>
          <w:p w:rsidR="0022177A" w:rsidRDefault="00B836BB">
            <w:r>
              <w:t>&lt;10%</w:t>
            </w:r>
          </w:p>
        </w:tc>
      </w:tr>
    </w:tbl>
    <w:p w:rsidR="0022177A" w:rsidRDefault="00B836BB">
      <w:pPr>
        <w:pStyle w:val="Heading2"/>
      </w:pPr>
      <w:r>
        <w:t>Conclusion</w:t>
      </w:r>
    </w:p>
    <w:p w:rsidR="0022177A" w:rsidRDefault="00B836BB">
      <w:r>
        <w:t>The analysis confirms that contract length,</w:t>
      </w:r>
      <w:r>
        <w:t xml:space="preserve"> customer tenure, and value-added services are the most influential factors in reducing churn. By focusing retention programs on new, month-to-month, and senior customers, the company can potentially reduce churn by 8–10%, improving long-term revenue stabi</w:t>
      </w:r>
      <w:r>
        <w:t>lity.</w:t>
      </w:r>
    </w:p>
    <w:sectPr w:rsidR="002217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2177A"/>
    <w:rsid w:val="0029639D"/>
    <w:rsid w:val="00326F90"/>
    <w:rsid w:val="00AA1D8D"/>
    <w:rsid w:val="00B47730"/>
    <w:rsid w:val="00B836B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208D553-6DC1-4EFD-A4FB-53FEEBF5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715BCF-3194-4F1E-AD62-20B477E34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2025-10-16T20:14:00Z</dcterms:modified>
  <cp:category/>
</cp:coreProperties>
</file>