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Employee Handbook</w:t>
      </w:r>
    </w:p>
    <w:p>
      <w:r>
        <w:t>This handbook describes company policy.</w:t>
      </w:r>
    </w:p>
    <w:p>
      <w:pPr>
        <w:pStyle w:val="Heading2"/>
      </w:pPr>
      <w:r>
        <w:t>Refunds</w:t>
      </w:r>
    </w:p>
    <w:p>
      <w:r>
        <w:t>Refunds are issued within 30 days of purchase.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