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Law No. 30884 – Law that Regulates Single-Use Plastic and Disposable Containers or Packaging</w:t>
        <w:br/>
        <w:t>Ley N.° 30884 – Ley que regula el plástico de un solo uso y los recipientes o envases descartables</w:t>
      </w:r>
    </w:p>
    <w:p>
      <w:pPr>
        <w:jc w:val="center"/>
      </w:pPr>
      <w:r>
        <w:t>Enacted: 8 December 2018 | Promulgated: 18 December 2018 | Published: 19 December 2018</w:t>
        <w:br/>
        <w:t>Not amended (implementing regulation amended 2019/2020)</w:t>
        <w:br/>
        <w:t>Source: https://www.gob.pe/institucion/congreso-de-la-republica/normas-legales/1122664-30884</w:t>
      </w:r>
    </w:p>
    <w:p>
      <w:pPr>
        <w:pStyle w:val="Heading1"/>
      </w:pPr>
      <w:r>
        <w:t>English Translation of Key Provisions</w:t>
      </w:r>
    </w:p>
    <w:p>
      <w:r>
        <w:t>English translation of principal provisions of Law No. 30884 on single-use plastics and disposable containers.</w:t>
      </w:r>
    </w:p>
    <w:p>
      <w:pPr>
        <w:pStyle w:val="Heading2"/>
      </w:pPr>
      <w:r>
        <w:t>Article 1 — Purpose</w:t>
      </w:r>
    </w:p>
    <w:p>
      <w:r>
        <w:rPr>
          <w:b/>
        </w:rPr>
        <w:t>El objeto de la ley es establecer el marco regulatorio sobre el plástico de un solo uso... reduciendo el impacto adverso del plástico... basura marina plástica...</w:t>
      </w:r>
    </w:p>
    <w:p>
      <w:pPr>
        <w:spacing w:after="160"/>
      </w:pPr>
      <w:r>
        <w:t>The law establishes the regulatory framework on single-use plastic, non-reusable plastics and styrofoam food/beverage containers, reducing adverse plastic impacts and marine/fluvial/lacustrine plastic litter.</w:t>
      </w:r>
    </w:p>
    <w:p>
      <w:pPr>
        <w:pStyle w:val="Heading2"/>
      </w:pPr>
      <w:r>
        <w:t>Article 2 — Progressive bag reduction</w:t>
      </w:r>
    </w:p>
    <w:p>
      <w:r>
        <w:rPr>
          <w:b/>
        </w:rPr>
        <w:t>deben reemplazar en forma progresiva... treinta y seis (36) meses... deben cobrar, por cada bolsa... precio del mercado...</w:t>
      </w:r>
    </w:p>
    <w:p>
      <w:pPr>
        <w:spacing w:after="160"/>
      </w:pPr>
      <w:r>
        <w:t>Retailers must progressively replace non-reusable polymer bags within 36 months and charge at least market price per bag with explicit consumer information.</w:t>
      </w:r>
    </w:p>
    <w:p>
      <w:pPr>
        <w:pStyle w:val="Heading2"/>
      </w:pPr>
      <w:r>
        <w:t>Article 3 — Prohibitions (phased)</w:t>
      </w:r>
    </w:p>
    <w:p>
      <w:r>
        <w:rPr>
          <w:b/>
        </w:rPr>
        <w:t>120 días... áreas naturales protegidas, playas... 12 meses... bolsas... 900 cm2... 50 micras... sorbetes... 36 meses... tecnopor...</w:t>
      </w:r>
    </w:p>
    <w:p>
      <w:pPr>
        <w:spacing w:after="160"/>
      </w:pPr>
      <w:r>
        <w:t>Phased prohibitions: 120 days in protected areas/beaches/state admin; 12 months on small/thin bags and straws; 36 months on all non-reusable bags, non-recyclable tableware and styrofoam food/beverage containers.</w:t>
      </w:r>
    </w:p>
    <w:p>
      <w:pPr>
        <w:pStyle w:val="Heading2"/>
      </w:pPr>
      <w:r>
        <w:t>Article 6 — Producer registry</w:t>
      </w:r>
    </w:p>
    <w:p>
      <w:r>
        <w:rPr>
          <w:b/>
        </w:rPr>
        <w:t>implementa un registro de fabricantes, importadores y distribuidores... ciento veinte (120) días...</w:t>
      </w:r>
    </w:p>
    <w:p>
      <w:pPr>
        <w:spacing w:after="160"/>
      </w:pPr>
      <w:r>
        <w:t>MINAM with PRODUCE and SUNAT implements manufacturer/importer/distributor registry within 120 days with annual statistical reporting.</w:t>
      </w:r>
    </w:p>
    <w:p>
      <w:pPr>
        <w:pStyle w:val="Heading2"/>
      </w:pPr>
      <w:r>
        <w:t>Article 10 — Recycled PET content</w:t>
      </w:r>
    </w:p>
    <w:p>
      <w:r>
        <w:rPr>
          <w:b/>
        </w:rPr>
        <w:t>deben obligatoriamente incluir... material PET reciclado postconsumo (PET-PCR) en al menos quince por ciento (15%)... tres (3) años...</w:t>
      </w:r>
    </w:p>
    <w:p>
      <w:pPr>
        <w:spacing w:after="160"/>
      </w:pPr>
      <w:r>
        <w:t>PET bottle manufacturers must mandatorily include at least 15% post-consumer recycled PET within 3 years of publication.</w:t>
      </w:r>
    </w:p>
    <w:p>
      <w:pPr>
        <w:pStyle w:val="Heading2"/>
      </w:pPr>
      <w:r>
        <w:t>Article 12 — Plastic bag consumption tax</w:t>
      </w:r>
    </w:p>
    <w:p>
      <w:r>
        <w:rPr>
          <w:b/>
        </w:rPr>
        <w:t>Créase el impuesto al consumo de las bolsas de plástico... S/ 0.10 en el 2019... S/ 0.50 en el 2023... 1 de agosto del año 2019.</w:t>
      </w:r>
    </w:p>
    <w:p>
      <w:pPr>
        <w:spacing w:after="160"/>
      </w:pPr>
      <w:r>
        <w:t>Creates plastic-bag consumption tax graduated from PEN 0.10 (2019) to PEN 0.50 (2023+), effective 1 August 2019, administered by SUNAT.</w:t>
      </w:r>
    </w:p>
    <w:p>
      <w:pPr>
        <w:pStyle w:val="Heading2"/>
      </w:pPr>
      <w:r>
        <w:t>Articles 8–9 — Enforcement</w:t>
      </w:r>
    </w:p>
    <w:p>
      <w:r>
        <w:rPr>
          <w:b/>
        </w:rPr>
        <w:t>OEFA... supervisión, fiscalización y sanción... Constituyen infracciones el incumplimiento... artículo 136 de la Ley 28611...</w:t>
      </w:r>
    </w:p>
    <w:p>
      <w:pPr>
        <w:spacing w:after="160"/>
      </w:pPr>
      <w:r>
        <w:t>OEFA, PRODUCE, INDECOPI, SERNANP and local/regional governments enforce the law; non-compliance constitutes infractions sanctioned under General Environment Law Art. 136.</w:t>
      </w:r>
    </w:p>
    <w:p>
      <w:pPr>
        <w:pStyle w:val="Heading2"/>
      </w:pPr>
      <w:r>
        <w:t>Final provisions — Recyclers and information</w:t>
      </w:r>
    </w:p>
    <w:p>
      <w:r>
        <w:rPr>
          <w:b/>
        </w:rPr>
        <w:t>formalización de los recicladores... Programas de Segregación... deben exhibir un anuncio...</w:t>
      </w:r>
    </w:p>
    <w:p>
      <w:pPr>
        <w:spacing w:after="160"/>
      </w:pPr>
      <w:r>
        <w:t>Executive promotes recycler formalization; local governments integrate plastic recovery in selective collection; establishments must display visible informative notices.</w:t>
      </w:r>
    </w:p>
    <w:p/>
    <w:p>
      <w:pPr>
        <w:jc w:val="center"/>
      </w:pPr>
      <w:r>
        <w:t>Note: Law 30884 is Peru's flagship national single-use plastics law. It complements DS 013-2018-MINAM (Executive Branch entities only) and is implemented through Supreme Decree regulations (approved 2019, amended 2020). DS 014-2017-MINAM and DL 1278 provide the broader waste-management framework.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