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Legislative Decree that approves the Comprehensive Solid Waste Management Law (Decreto Legislativo Nº 1278)</w:t>
        <w:br/>
        <w:t>Decreto Legislativo Nº 1278 – Ley de Gestión Integral de Residuos Sólidos</w:t>
      </w:r>
    </w:p>
    <w:p>
      <w:pPr>
        <w:jc w:val="center"/>
      </w:pPr>
      <w:r>
        <w:t>Original adoption: 22 December 2016 | Last amended: 21 December 2024 (Law Nº 32212)</w:t>
        <w:br/>
        <w:t>Also amended by: D.L. Nº 1501 (2020), Law Nº 31896 (2023)</w:t>
        <w:br/>
        <w:t>Source: https://www.minam.gob.pe/disposiciones/decreto-legislativo-n-1278/</w:t>
      </w:r>
    </w:p>
    <w:p>
      <w:pPr>
        <w:pStyle w:val="Heading1"/>
      </w:pPr>
      <w:r>
        <w:t>English Translation of Key Provisions</w:t>
      </w:r>
    </w:p>
    <w:p>
      <w:r>
        <w:t>English translation of principal provisions of Legislative Decree Nº 1278, incorporating material amendments from Law Nº 32212 (2024) where noted.</w:t>
      </w:r>
    </w:p>
    <w:p>
      <w:pPr>
        <w:pStyle w:val="Heading2"/>
      </w:pPr>
      <w:r>
        <w:t>Article 1 — Object</w:t>
      </w:r>
    </w:p>
    <w:p>
      <w:r>
        <w:rPr>
          <w:b/>
        </w:rPr>
        <w:t>establece derechos, obligaciones, atribuciones y responsabilidades...</w:t>
      </w:r>
    </w:p>
    <w:p>
      <w:pPr>
        <w:spacing w:after="160"/>
      </w:pPr>
      <w:r>
        <w:t>This Legislative Decree establishes rights, obligations, powers, and responsibilities of society as a whole to maximize material efficiency and ensure economically, sanitarily, and environmentally adequate solid waste management.</w:t>
      </w:r>
    </w:p>
    <w:p>
      <w:pPr>
        <w:pStyle w:val="Heading2"/>
      </w:pPr>
      <w:r>
        <w:t>Article 2 — Purpose of integrated waste management</w:t>
      </w:r>
    </w:p>
    <w:p>
      <w:r>
        <w:rPr>
          <w:b/>
        </w:rPr>
        <w:t>La gestión integral... tiene como primera finalidad la prevención o minimización...</w:t>
      </w:r>
    </w:p>
    <w:p>
      <w:pPr>
        <w:spacing w:after="160"/>
      </w:pPr>
      <w:r>
        <w:t>Integrated waste management's first purpose is prevention or minimization at source. For generated waste, recovery and material/energy valorization (reuse, recycling, composting, coprocessing) are preferred. Final disposal in appropriate infrastructure is the last alternative.</w:t>
      </w:r>
    </w:p>
    <w:p>
      <w:pPr>
        <w:pStyle w:val="Heading2"/>
      </w:pPr>
      <w:r>
        <w:t>Article 5(c) — Extended Producer Responsibility principle</w:t>
      </w:r>
    </w:p>
    <w:p>
      <w:r>
        <w:rPr>
          <w:b/>
        </w:rPr>
        <w:t>Principio de responsabilidad extendida del productor...</w:t>
      </w:r>
    </w:p>
    <w:p>
      <w:pPr>
        <w:spacing w:after="160"/>
      </w:pPr>
      <w:r>
        <w:t>Extended Producer Responsibility principle: manufacturers, importers, distributors, and retailers shall manufacture or use products or packaging with eco-efficiency criteria minimizing waste generation and/or facilitating valorization, and are responsible for participating across life-cycle stages.</w:t>
      </w:r>
    </w:p>
    <w:p>
      <w:pPr>
        <w:pStyle w:val="Heading2"/>
      </w:pPr>
      <w:r>
        <w:t>Title III — EPR (Articles 12–14)</w:t>
      </w:r>
    </w:p>
    <w:p>
      <w:r>
        <w:rPr>
          <w:b/>
        </w:rPr>
        <w:t>Los fabricantes, importadores, distribuidores y comerciantes se involucran activamente...</w:t>
      </w:r>
    </w:p>
    <w:p>
      <w:pPr>
        <w:spacing w:after="160"/>
      </w:pPr>
      <w:r>
        <w:t>Producers must actively engage across product life-cycle stages using eco-design and waste prevention. Art. 13 (amended 2024): MINAM approves by supreme decree prioritized consumer goods subject to special management regimes, including actor obligations, objectives, targets, management systems, and implementation timelines. Art. 14: producers may sign collaboration agreements with municipalities or waste operators for segregation, selective collection, and reception facilities.</w:t>
      </w:r>
    </w:p>
    <w:p>
      <w:pPr>
        <w:pStyle w:val="Heading2"/>
      </w:pPr>
      <w:r>
        <w:t>Article 8 — Material efficiency and eco-design</w:t>
      </w:r>
    </w:p>
    <w:p>
      <w:r>
        <w:rPr>
          <w:b/>
        </w:rPr>
        <w:t>La producción de bienes y servicios... privilegia el uso eficiente de los insumos...</w:t>
      </w:r>
    </w:p>
    <w:p>
      <w:pPr>
        <w:spacing w:after="160"/>
      </w:pPr>
      <w:r>
        <w:t>Production of goods and services must privilege efficient use of inputs and materials through eco-design, process optimization, innovation, and use of discard materials as inputs.</w:t>
      </w:r>
    </w:p>
    <w:p>
      <w:pPr>
        <w:pStyle w:val="Heading2"/>
      </w:pPr>
      <w:r>
        <w:t>Article 34 — Source segregation</w:t>
      </w:r>
    </w:p>
    <w:p>
      <w:r>
        <w:rPr>
          <w:b/>
        </w:rPr>
        <w:t>Los generadores... están obligados a entregar los residuos debidamente segregados...</w:t>
      </w:r>
    </w:p>
    <w:p>
      <w:pPr>
        <w:spacing w:after="160"/>
      </w:pPr>
      <w:r>
        <w:t>Municipal and non-municipal generators must deliver properly segregated waste to authorized operators. Municipal generators must classify waste to facilitate recovery. Municipalities must approve segregation criteria by legal instrument within one year if not yet established.</w:t>
      </w:r>
    </w:p>
    <w:p>
      <w:pPr>
        <w:pStyle w:val="Heading2"/>
      </w:pPr>
      <w:r>
        <w:t>Article 35 — Selective collection</w:t>
      </w:r>
    </w:p>
    <w:p>
      <w:r>
        <w:rPr>
          <w:b/>
        </w:rPr>
        <w:t>La recolección de los residuos debe ser selectiva...</w:t>
      </w:r>
    </w:p>
    <w:p>
      <w:pPr>
        <w:spacing w:after="160"/>
      </w:pPr>
      <w:r>
        <w:t>Waste collection must be selective per municipal provisions. Formalized recyclers integrate into municipal selective collection systems.</w:t>
      </w:r>
    </w:p>
    <w:p>
      <w:pPr>
        <w:pStyle w:val="Heading2"/>
      </w:pPr>
      <w:r>
        <w:t>Article 37 &amp; 49 — Valorization priority and annual targets</w:t>
      </w:r>
    </w:p>
    <w:p>
      <w:r>
        <w:rPr>
          <w:b/>
        </w:rPr>
        <w:t>La valorización constituye la alternativa... que debe priorizarse...</w:t>
      </w:r>
    </w:p>
    <w:p>
      <w:pPr>
        <w:spacing w:after="160"/>
      </w:pPr>
      <w:r>
        <w:t>Valorization must be prioritized over disposal. MINAM establishes annual municipal valorization targets based on selective collection systems and verifies compliance.</w:t>
      </w:r>
    </w:p>
    <w:p>
      <w:pPr>
        <w:pStyle w:val="Heading2"/>
      </w:pPr>
      <w:r>
        <w:t>Article 44 — Prohibition of unauthorized disposal</w:t>
      </w:r>
    </w:p>
    <w:p>
      <w:r>
        <w:rPr>
          <w:b/>
        </w:rPr>
        <w:t>Está prohibido el abandono, vertido o disposición de residuos en lugares no autorizados...</w:t>
      </w:r>
    </w:p>
    <w:p>
      <w:pPr>
        <w:spacing w:after="160"/>
      </w:pPr>
      <w:r>
        <w:t>Abandonment, dumping, or disposal of waste in unauthorized places is prohibited. Illegal dumps must be closed by provincial municipalities.</w:t>
      </w:r>
    </w:p>
    <w:p>
      <w:pPr>
        <w:pStyle w:val="Heading2"/>
      </w:pPr>
      <w:r>
        <w:t>Article 55 — Non-municipal generator obligations</w:t>
      </w:r>
    </w:p>
    <w:p>
      <w:r>
        <w:rPr>
          <w:b/>
        </w:rPr>
        <w:t>Los generadores de residuos del ámbito no municipal se encuentran obligados a...</w:t>
      </w:r>
    </w:p>
    <w:p>
      <w:pPr>
        <w:spacing w:after="160"/>
      </w:pPr>
      <w:r>
        <w:t>Non-municipal generators must segregate waste, maintain appropriate storage, prioritize valorization, ensure treatment and disposal, keep records, report via SIGERSOL, and submit annual declarations and updated management plans.</w:t>
      </w:r>
    </w:p>
    <w:p>
      <w:pPr>
        <w:pStyle w:val="Heading2"/>
      </w:pPr>
      <w:r>
        <w:t>Article 60 — Waste operator registration</w:t>
      </w:r>
    </w:p>
    <w:p>
      <w:r>
        <w:rPr>
          <w:b/>
        </w:rPr>
        <w:t>las Empresas Operadoras de Residuos Sólidos deben estar debidamente registradas ante el MINAM</w:t>
      </w:r>
    </w:p>
    <w:p>
      <w:pPr>
        <w:spacing w:after="160"/>
      </w:pPr>
      <w:r>
        <w:t>Waste services and commercialization must be performed by Waste Operator Companies (EO-RS) registered with MINAM, with qualified technical direction and appropriate equipment and infrastructure.</w:t>
      </w:r>
    </w:p>
    <w:p>
      <w:pPr>
        <w:pStyle w:val="Heading2"/>
      </w:pPr>
      <w:r>
        <w:t>Articles 74–82 — Supervision and sanctions</w:t>
      </w:r>
    </w:p>
    <w:p>
      <w:r>
        <w:rPr>
          <w:b/>
        </w:rPr>
        <w:t>Constituyen infracciones administrativas el incumplimiento...</w:t>
      </w:r>
    </w:p>
    <w:p>
      <w:pPr>
        <w:spacing w:after="160"/>
      </w:pPr>
      <w:r>
        <w:t>Failure to comply with the Law and its Regulation constitutes an administrative infraction. Authorities apply sanctions under General Environment Law Art. 136. OEFA and municipalities typify infractions and impose fines within established parameters.</w:t>
      </w:r>
    </w:p>
    <w:p>
      <w:pPr>
        <w:pStyle w:val="Heading2"/>
      </w:pPr>
      <w:r>
        <w:t>2024 Amendment — Article 70-A (cleaning fee collection)</w:t>
      </w:r>
    </w:p>
    <w:p>
      <w:r>
        <w:rPr>
          <w:b/>
        </w:rPr>
        <w:t>Lo recaudado por el concepto de limpieza pública se destina única y exclusivamente...</w:t>
      </w:r>
    </w:p>
    <w:p>
      <w:pPr>
        <w:spacing w:after="160"/>
      </w:pPr>
      <w:r>
        <w:t>Municipalities may collect cleaning fees through utility bills. Revenue from cleaning fees is dedicated exclusively to cleaning service and waste infrastructure investments (Law 32212, Art. 70-A).</w:t>
      </w:r>
    </w:p>
    <w:p>
      <w:pPr>
        <w:pStyle w:val="Heading2"/>
      </w:pPr>
      <w:r>
        <w:t>2024 Amendment — FONAM financing (Ley 26793 Art. 3g)</w:t>
      </w:r>
    </w:p>
    <w:p>
      <w:r>
        <w:rPr>
          <w:b/>
        </w:rPr>
        <w:t>montos pagados por concepto de reparaciones civiles... destinados a... rellenos sanitarios</w:t>
      </w:r>
    </w:p>
    <w:p>
      <w:pPr>
        <w:spacing w:after="160"/>
      </w:pPr>
      <w:r>
        <w:t>FONAM receives civil reparation payments from environmental crimes related to waste mismanagement, dedicated to recovering degraded areas and financing sanitary landfills (Law 32212).</w:t>
      </w:r>
    </w:p>
    <w:p>
      <w:pPr>
        <w:pStyle w:val="Heading2"/>
      </w:pPr>
      <w:r>
        <w:t>Annex — Key definitions (ecodesign, EPR collection center)</w:t>
      </w:r>
    </w:p>
    <w:p>
      <w:r>
        <w:rPr>
          <w:b/>
        </w:rPr>
        <w:t>Ecodiseño... Centro de acopio municipal...</w:t>
      </w:r>
    </w:p>
    <w:p>
      <w:pPr>
        <w:spacing w:after="160"/>
      </w:pPr>
      <w:r>
        <w:t>Eco-design: designing products, packaging, and labeling to minimize environmental impacts and maximize material efficiency across the life cycle. Municipal collection center: infrastructure storing non-hazardous waste recovered through source segregation, selective collection, or EPR programs.</w:t>
      </w:r>
    </w:p>
    <w:p/>
    <w:p>
      <w:pPr>
        <w:jc w:val="center"/>
      </w:pPr>
      <w:r>
        <w:t>Note: DL 1278 derogated Law 27314 upon entry into force of its Regulation (DS 014-2017-MINAM). Implementing regulation DS 014-2017-MINAM was amended by DS 001-2022-MINAM. EPR targets for specific prioritized goods (including packaging and plastics) are set in subordinate supreme decrees approved under Art. 13.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