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Regulation on Prevention of Marine and Coastal Pollution</w:t>
      </w:r>
    </w:p>
    <w:p>
      <w:pPr>
        <w:jc w:val="center"/>
      </w:pPr>
      <w:r>
        <w:t>Decree No. 45/2006 of 30 November</w:t>
      </w:r>
    </w:p>
    <w:p>
      <w:pPr>
        <w:jc w:val="center"/>
      </w:pPr>
      <w:r>
        <w:rPr>
          <w:i/>
        </w:rPr>
        <w:t>English translation of: Regulamento para Prevenção da Poluição e Proteção do Ambiente Marinho e Costeiro</w:t>
        <w:br/>
      </w:r>
      <w:r>
        <w:t>Translated for 4P Index policy analysis — 2026-06-19</w:t>
        <w:br/>
      </w:r>
      <w:r>
        <w:t>Source: https://faolex.fao.org/docs/pdf/moz111422.pdf</w:t>
      </w:r>
    </w:p>
    <w:p>
      <w:pPr>
        <w:pStyle w:val="Heading1"/>
      </w:pPr>
      <w:r>
        <w:t>Decree No. 45/2006</w:t>
      </w:r>
    </w:p>
    <w:p>
      <w:r>
        <w:t>The Council of Ministers decrees:</w:t>
        <w:br/>
        <w:t>Article 1. The Regulation on Prevention of Pollution and Protection of the Marine and Coastal Environment is approved as an annex forming an integral part of this Decree.</w:t>
        <w:br/>
        <w:t>Article 2. Decree No. 495/73 of 6 October is repealed.</w:t>
        <w:br/>
        <w:t>Article 3. This Regulation enters into force sixty days after publication.</w:t>
        <w:br/>
        <w:t>Approved by the Council of Ministers on 10 October 2006.</w:t>
      </w:r>
    </w:p>
    <w:p>
      <w:pPr>
        <w:pStyle w:val="Heading1"/>
      </w:pPr>
      <w:r>
        <w:t>Regulation — Title I. General provisions</w:t>
      </w:r>
    </w:p>
    <w:p>
      <w:r>
        <w:t>Article 2 (Object). To prevent and limit pollution from illegal discharges by ships, platforms or land-based sources off the Mozambican coast, and to establish legal bases for protection of maritime, lacustrine and fluvial public domain, beaches and fragile ecosystems.</w:t>
        <w:br/>
        <w:br/>
        <w:t>Article 3 (Scope). Applies to all persons and entities whose activities may negatively impact the environment in maritime public domain areas, including discharges of harmful substances by ships, ports, coastal installations and land-based sources in internal waters, territorial sea, EEZ and high sea (for national vessels). Harmful substances classified per hazardous waste regulation.</w:t>
        <w:br/>
        <w:br/>
        <w:t>Key definitions (Art. 1): Discharge; ship-generated waste; cargo waste; dumping; fragile ecosystems; coastal zone; port reception facilities.</w:t>
      </w:r>
    </w:p>
    <w:p>
      <w:pPr>
        <w:pStyle w:val="Heading1"/>
      </w:pPr>
      <w:r>
        <w:t>Title II. Ships and platforms — Prevention and control</w:t>
      </w:r>
    </w:p>
    <w:p>
      <w:r>
        <w:t>Article 5. Ports, port facilities, platforms and coastal emitter installations must have adequate waste collection and treatment means; EIA defines dimensions, capacity, standards and emergency equipment.</w:t>
        <w:br/>
        <w:br/>
        <w:t>Article 6. Operators must prepare internal pollution-risk and waste management manuals approved by the environmental authority.</w:t>
        <w:br/>
        <w:br/>
        <w:t>Article 7. Individual oil/hazardous substance contingency plans updated every five years; submitted to INAMAR and MICOA.</w:t>
        <w:br/>
        <w:br/>
        <w:t>Article 8. Ship commanders must deposit all ship-generated waste at port reception facilities before leaving port, unless sufficient storage capacity exists for the next delivery port; port authority may compel delivery if next port is inadequate.</w:t>
        <w:br/>
        <w:br/>
        <w:t>Article 9. Ships (except small fishing/recreational vessels) must submit accurate waste quantity and type data on arrival.</w:t>
        <w:br/>
        <w:br/>
        <w:t>Article 10. Port reception waste fees must not incentivise discharge at sea; ships must contribute significantly to costs; fee reductions possible for low-waste vessels.</w:t>
        <w:br/>
        <w:br/>
        <w:t>Articles 11–14. Oil and hazardous substance record books, packaging rules, insurance and MARPOL pollution prevention certificates required for applicable vessels.</w:t>
      </w:r>
    </w:p>
    <w:p>
      <w:pPr>
        <w:pStyle w:val="Heading1"/>
      </w:pPr>
      <w:r>
        <w:t>Title II — Chapter III. Discharges (plastic-relevant provisions)</w:t>
      </w:r>
    </w:p>
    <w:p>
      <w:r>
        <w:t>Article 15. Discharge of high-risk harmful substances in national waters is prohibited.</w:t>
        <w:br/>
        <w:br/>
        <w:t>Article 17. Discharge of non-hazardous wastes prohibited except under cumulative conditions including international norms, outside ecologically sensitive areas, and MICOA-approved procedures.</w:t>
        <w:br/>
        <w:br/>
        <w:t>Article 18.</w:t>
        <w:br/>
        <w:t>1. Discharge of oils, oily mixtures and residues prohibited except as permitted internationally and with MICOA-approved procedures outside sensitive areas.</w:t>
        <w:br/>
        <w:t>2. Discharge of any waste — including synthetic ropes, synthetic fishing nets and plastic bags — in national jurisdictional waters outside port facilities is not permitted.</w:t>
        <w:br/>
        <w:br/>
        <w:t>Article 19. Force majeure exceptions with liability for environmental damage.</w:t>
        <w:br/>
        <w:br/>
        <w:t>Article 21. Immediate incident notification to INAMAR and MICOA.</w:t>
      </w:r>
    </w:p>
    <w:p>
      <w:pPr>
        <w:pStyle w:val="Heading1"/>
      </w:pPr>
      <w:r>
        <w:t>Title III. Land-based sources</w:t>
      </w:r>
    </w:p>
    <w:p>
      <w:r>
        <w:t>Article 43. MICOA shall take adequate measures to prevent and control discharge or spillage into the sea of harmful substances, garbage, wastewater and sewage from coastal establishments, per Decrees 30/2003 and 18/2004.</w:t>
        <w:br/>
        <w:br/>
        <w:t>Article 51.</w:t>
        <w:br/>
        <w:t>1. Dumping toxic or harmful effluents and any non-biodegradable residues into coastal areas, territorial sea, ports, rivers, lakes, beaches and maritime administration areas is prohibited.</w:t>
        <w:br/>
        <w:t>2. Vessels may not discharge persistent oils or environmentally harmful substances without legal compliance.</w:t>
        <w:br/>
        <w:br/>
        <w:t>Article 52.</w:t>
        <w:br/>
        <w:t>1. Depositing waste outside proper receptacles along the coast and fragile ecosystems is prohibited.</w:t>
        <w:br/>
        <w:t>2. Open defecation in regulated areas is prohibited.</w:t>
        <w:br/>
        <w:t>3. Where receptacles are absent, beach users must collect and remove their waste.</w:t>
        <w:br/>
        <w:t>4. Installing dumps, skips, landfills or toxic material storage along the coast in fragile ecosystems is prohibited.</w:t>
      </w:r>
    </w:p>
    <w:p>
      <w:pPr>
        <w:pStyle w:val="Heading1"/>
      </w:pPr>
      <w:r>
        <w:t>Sanctions (selected)</w:t>
      </w:r>
    </w:p>
    <w:p>
      <w:r>
        <w:t>Article 38.</w:t>
        <w:br/>
        <w:t>2. Violation of toxic/hazardous litter prevention: fine 1,000,000–10,000,000 MT.</w:t>
        <w:br/>
        <w:t>3. Garbage discharge/litter violations: fine 5,000–75,000 MT (by intent/negligence); omission of incident communication also fined.</w:t>
        <w:br/>
        <w:br/>
        <w:t>Article 85. Fine revenues: 60% INAMAR, 10% State Budget, 30% Environment Fund (FUNAB).</w:t>
      </w:r>
    </w:p>
    <w:p>
      <w:pPr>
        <w:pStyle w:val="Heading1"/>
      </w:pPr>
      <w:r>
        <w:t>Note on subsequent amendments</w:t>
      </w:r>
    </w:p>
    <w:p>
      <w:r>
        <w:t>Decree No. 98/2020 revoked Articles 53–61 of this Regulation (beach management provisions). Core pollution prevention, ship waste, discharge prohibitions and coastal litter rules remain in force. Annex I incorporates MARPOL 73/78 discharge rules; Annex VII lists Title III fines.</w:t>
      </w:r>
    </w:p>
    <w:p>
      <w:r>
        <w:br w:type="page"/>
      </w:r>
    </w:p>
    <w:p>
      <w:pPr>
        <w:pStyle w:val="Heading1"/>
      </w:pPr>
      <w:r>
        <w:t>4P Index Coding Summary</w:t>
      </w:r>
    </w:p>
    <w:p>
      <w:r>
        <w:t>Policy: Regulamento para Prevenção da Poluição e Proteção do Ambiente Marinho e Costeiro (Decreto n.º 45/2006)</w:t>
        <w:br/>
        <w:t>Instruments coded: 8 (consolidated to avoid overcoding)</w:t>
        <w:br/>
        <w:t>See: 4P_Index_Mozambique_Decree_45_2006.xlsx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