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Supreme Decree No. 014-2017-MINAM – Regulation of Legislative Decree No. 1278 (Comprehensive Solid Waste Management Law)</w:t>
        <w:br/>
        <w:t>Decreto Supremo N.° 014-2017-MINAM – Reglamento del Decreto Legislativo N.° 1278</w:t>
      </w:r>
    </w:p>
    <w:p>
      <w:pPr>
        <w:jc w:val="center"/>
      </w:pPr>
      <w:r>
        <w:t>Approved: 21 December 2017 | Amended: 9 January 2022 (DS 001-2022-MINAM); 4 April 2024 (DS 002-2024-MINAM)</w:t>
        <w:br/>
        <w:t>Source: https://www.gob.pe/institucion/minam/normas-legales/3695-014-2017-minam</w:t>
      </w:r>
    </w:p>
    <w:p>
      <w:pPr>
        <w:pStyle w:val="Heading1"/>
      </w:pPr>
      <w:r>
        <w:t>English Translation of Key Provisions</w:t>
      </w:r>
    </w:p>
    <w:p>
      <w:r>
        <w:t>English translation of principal provisions of Supreme Decree No. 014-2017-MINAM, Regulation of Legislative Decree No. 1278, as amended.</w:t>
      </w:r>
    </w:p>
    <w:p>
      <w:pPr>
        <w:pStyle w:val="Heading2"/>
      </w:pPr>
      <w:r>
        <w:t>Article 1 — Purpose</w:t>
      </w:r>
    </w:p>
    <w:p>
      <w:r>
        <w:rPr>
          <w:b/>
        </w:rPr>
        <w:t>El presente dispositivo normativo tiene como objeto reglamentar el Decreto Legislativo N° 1278... minimización... valorización material y energética... disposición final...</w:t>
      </w:r>
    </w:p>
    <w:p>
      <w:pPr>
        <w:spacing w:after="160"/>
      </w:pPr>
      <w:r>
        <w:t>This regulation implements Legislative Decree No. 1278 to maximize material efficiency and govern source minimization, material and energy valorization, adequate final disposal and sustainability of the public cleaning service.</w:t>
      </w:r>
    </w:p>
    <w:p>
      <w:pPr>
        <w:pStyle w:val="Heading2"/>
      </w:pPr>
      <w:r>
        <w:t>Article 9 — PLANRES</w:t>
      </w:r>
    </w:p>
    <w:p>
      <w:r>
        <w:rPr>
          <w:b/>
        </w:rPr>
        <w:t>El PLANRES es un instrumento nacional... se aprueba por Decreto Supremo... se actualiza cada cinco (05) años...</w:t>
      </w:r>
    </w:p>
    <w:p>
      <w:pPr>
        <w:spacing w:after="160"/>
      </w:pPr>
      <w:r>
        <w:t>PLANRES is a national instrument aligned with PLANAA targets; approved by Supreme Decree on MINAM proposal; updated every five years based on objective and target compliance analysis.</w:t>
      </w:r>
    </w:p>
    <w:p>
      <w:pPr>
        <w:pStyle w:val="Heading2"/>
      </w:pPr>
      <w:r>
        <w:t>Article 10 — Municipal waste management plans</w:t>
      </w:r>
    </w:p>
    <w:p>
      <w:r>
        <w:rPr>
          <w:b/>
        </w:rPr>
        <w:t>Los Planes... deben estar alineados al PLANRES... presentan ante el MINAM y al OEFA el reporte... último día hábil del mes de marzo...</w:t>
      </w:r>
    </w:p>
    <w:p>
      <w:pPr>
        <w:spacing w:after="160"/>
      </w:pPr>
      <w:r>
        <w:t>Provincial and district municipal waste plans must align with PLANRES, be updated every five years, and submit annual activity reports to MINAM and OEFA by the last business day of March.</w:t>
      </w:r>
    </w:p>
    <w:p>
      <w:pPr>
        <w:pStyle w:val="Heading2"/>
      </w:pPr>
      <w:r>
        <w:t>Article 11 — Segregation and selective collection program</w:t>
      </w:r>
    </w:p>
    <w:p>
      <w:r>
        <w:rPr>
          <w:b/>
        </w:rPr>
        <w:t>Programa de Segregación en la Fuente y Recolección Selectiva... estrategias para la segregación en fuente y el diseño de la recolección selectiva... participación de las organizaciones de recicladores formalizados.</w:t>
      </w:r>
    </w:p>
    <w:p>
      <w:pPr>
        <w:spacing w:after="160"/>
      </w:pPr>
      <w:r>
        <w:t>Source Segregation and Selective Collection Program: municipal technical instrument formulating source-segregation strategies and selective-collection design, including participation of formalized recycler organizations.</w:t>
      </w:r>
    </w:p>
    <w:p>
      <w:pPr>
        <w:pStyle w:val="Heading2"/>
      </w:pPr>
      <w:r>
        <w:t>Article 19 — Source segregation</w:t>
      </w:r>
    </w:p>
    <w:p>
      <w:r>
        <w:rPr>
          <w:b/>
        </w:rPr>
        <w:t>El generador de residuos municipales debe realizar la segregación de sus residuos sólidos... para facilitar su valorización y/o disposición final.</w:t>
      </w:r>
    </w:p>
    <w:p>
      <w:pPr>
        <w:spacing w:after="160"/>
      </w:pPr>
      <w:r>
        <w:t>Municipal waste generators must segregate solid waste by physical, chemical and biological characteristics to facilitate valorization and/or final disposal.</w:t>
      </w:r>
    </w:p>
    <w:p>
      <w:pPr>
        <w:pStyle w:val="Heading2"/>
      </w:pPr>
      <w:r>
        <w:t>Articles 36–38 — Valorization priority and national targets</w:t>
      </w:r>
    </w:p>
    <w:p>
      <w:r>
        <w:rPr>
          <w:b/>
        </w:rPr>
        <w:t>La valorización de residuos sólidos municipales debe priorizarse... Las metas nacionales de valorización... son establecidas por el MINAM, en el PLANAA y PLANRES.</w:t>
      </w:r>
    </w:p>
    <w:p>
      <w:pPr>
        <w:spacing w:after="160"/>
      </w:pPr>
      <w:r>
        <w:t>Valorization of municipal solid waste must be prioritized over final disposal. National valorization targets are set by MINAM in PLANAA and PLANRES and verified using SIGERSOL data.</w:t>
      </w:r>
    </w:p>
    <w:p>
      <w:pPr>
        <w:pStyle w:val="Heading2"/>
      </w:pPr>
      <w:r>
        <w:t>Articles 84–86 — Prioritized goods / EPR regime</w:t>
      </w:r>
    </w:p>
    <w:p>
      <w:r>
        <w:rPr>
          <w:b/>
        </w:rPr>
        <w:t>El régimen especial... productores... deben implementar sistemas específicos de manejo... responsabilidad extendida del productor...</w:t>
      </w:r>
    </w:p>
    <w:p>
      <w:pPr>
        <w:spacing w:after="160"/>
      </w:pPr>
      <w:r>
        <w:t>Special regime for prioritized mass-consumption goods: producers must implement individual or collective post-consumer management systems under extended producer responsibility, regulated by supreme decree with goods, targets and timelines.</w:t>
      </w:r>
    </w:p>
    <w:p>
      <w:pPr>
        <w:pStyle w:val="Heading2"/>
      </w:pPr>
      <w:r>
        <w:t>Articles 87–89 — EO-RS Authoritative Registry</w:t>
      </w:r>
    </w:p>
    <w:p>
      <w:r>
        <w:rPr>
          <w:b/>
        </w:rPr>
        <w:t>Las empresas... deben inscribirse previamente en el Registro Autoritativo de Empresas Operadoras de Residuos Sólidos administrado por el MINAM.</w:t>
      </w:r>
    </w:p>
    <w:p>
      <w:pPr>
        <w:spacing w:after="160"/>
      </w:pPr>
      <w:r>
        <w:t>Waste operator companies must register beforehand in the Authoritative Registry of Waste Operator Companies administered by MINAM before conducting collection, transport, valorization or disposal operations.</w:t>
      </w:r>
    </w:p>
    <w:p>
      <w:pPr>
        <w:pStyle w:val="Heading2"/>
      </w:pPr>
      <w:r>
        <w:t>Articles 130–136 — Supervision and sanctions</w:t>
      </w:r>
    </w:p>
    <w:p>
      <w:r>
        <w:rPr>
          <w:b/>
        </w:rPr>
        <w:t>Las funciones de supervisión, fiscalización y sanción... a cargo del OEFA... Infracciones administrativas...</w:t>
      </w:r>
    </w:p>
    <w:p>
      <w:pPr>
        <w:spacing w:after="160"/>
      </w:pPr>
      <w:r>
        <w:t>OEFA and environmental enforcement agencies exercise supervision, enforcement and sanctions; Art. 135 typifies administrative infractions for non-compliance with segregation, collection, valorization and registry obligations.</w:t>
      </w:r>
    </w:p>
    <w:p>
      <w:pPr>
        <w:pStyle w:val="Heading2"/>
      </w:pPr>
      <w:r>
        <w:t>Amendments — DS 001-2022 and DS 002-2024</w:t>
      </w:r>
    </w:p>
    <w:p>
      <w:r>
        <w:rPr>
          <w:b/>
        </w:rPr>
        <w:t>DS 001-2022-MINAM modifica Arts. 34, 38 y 39 e incorpora Registro Nacional de Recicladores. DS 002-2024-MINAM (4 abr. 2024) actualiza disposiciones del Reglamento.</w:t>
      </w:r>
    </w:p>
    <w:p>
      <w:pPr>
        <w:spacing w:after="160"/>
      </w:pPr>
      <w:r>
        <w:t>DS 001-2022-MINAM amends Arts. 34, 38 and 39 and incorporates the National Registry of Recyclers. DS 002-2024-MINAM (4 Apr 2024) updates Regulation provisions.</w:t>
      </w:r>
    </w:p>
    <w:p/>
    <w:p>
      <w:pPr>
        <w:jc w:val="center"/>
      </w:pPr>
      <w:r>
        <w:t>Note: DS 014-2017-MINAM is the implementing regulation of Legislative Decree No. 1278. It derogated prior waste regulations upon entry into force and coordinates with Law No. 29419 on waste pickers, PLANRES, and subordinate EPR supreme decrees for prioritized goods including packaging and plastics.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