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 Law — Lei do Mar</w:t>
      </w:r>
    </w:p>
    <w:p>
      <w:pPr>
        <w:jc w:val="center"/>
      </w:pPr>
      <w:r>
        <w:t>Law No. 20/2019 of 8 November</w:t>
      </w:r>
    </w:p>
    <w:p>
      <w:pPr>
        <w:jc w:val="center"/>
      </w:pPr>
      <w:r>
        <w:rPr>
          <w:i/>
        </w:rPr>
        <w:t>English translation of: Lei do Mar (Lei n.º 20/2019)</w:t>
        <w:br/>
      </w:r>
      <w:r>
        <w:t>Translated for 4P Index policy analysis — 2026-06-19</w:t>
        <w:br/>
      </w:r>
      <w:r>
        <w:t>Source: https://sibmoz.gov.mz/content/uploads/2022/01/Lei-do-Mar.pdf</w:t>
      </w:r>
    </w:p>
    <w:p>
      <w:pPr>
        <w:pStyle w:val="Heading1"/>
      </w:pPr>
      <w:r>
        <w:t>Law No. 20/2019</w:t>
      </w:r>
    </w:p>
    <w:p>
      <w:r>
        <w:t>The Assembly of the Republic resolves to revise Law No. 4/96 of 4 January — Sea Law — to align with international instruments and ensure conservation, preservation and sustainable use of the national maritime space.</w:t>
        <w:br/>
        <w:br/>
        <w:t>Article 1 (Object): This Law establishes the legal regime for exercising sovereignty and jurisdiction over the national maritime space, exploitation of living and non-living marine resources, and use of the maritime public domain.</w:t>
      </w:r>
    </w:p>
    <w:p>
      <w:pPr>
        <w:pStyle w:val="Heading1"/>
      </w:pPr>
      <w:r>
        <w:t>Scope of application (Art. 2)</w:t>
      </w:r>
    </w:p>
    <w:p>
      <w:r>
        <w:t>The Law applies to: (a) the national maritime space including navigable waters of public lacustrine and fluvial domains, seabed and subsoil, and adjacent public domain; (b) national and foreign vessels wherever located; (c) maritime objects, cables, pipelines, artificial islands and structures; (d) maritime infrastructure and equipment.</w:t>
      </w:r>
    </w:p>
    <w:p>
      <w:pPr>
        <w:pStyle w:val="Heading1"/>
      </w:pPr>
      <w:r>
        <w:t>Guiding principles (Art. 5, selected)</w:t>
      </w:r>
    </w:p>
    <w:p>
      <w:r>
        <w:t>Ecosystem approach — preserve good environmental status of marine and coastal areas.</w:t>
        <w:br/>
        <w:br/>
        <w:t>Polluter pays — polluters bear costs of restoring the polluted marine environment.</w:t>
        <w:br/>
        <w:br/>
        <w:t>User pays — access and use of marine and coastal resources require payment of fees.</w:t>
        <w:br/>
        <w:br/>
        <w:t>Precautionary principle — adopt measures to prevent acts harmful to the marine environment.</w:t>
      </w:r>
    </w:p>
    <w:p>
      <w:pPr>
        <w:pStyle w:val="Heading1"/>
      </w:pPr>
      <w:r>
        <w:t>Marine environment protection (Arts. 42, 53)</w:t>
      </w:r>
    </w:p>
    <w:p>
      <w:r>
        <w:t>The State adopts international legislation to prevent, reduce and control marine pollution. Government prohibitions include:</w:t>
        <w:br/>
        <w:t>a) emission of toxic, prejudicial or harmful substances, especially non-degradable ones, from land, atmosphere or vessels or by dumping;</w:t>
        <w:br/>
        <w:t>b) pollution from vessels including ballasting and transfer of dangerous cargoes;</w:t>
        <w:br/>
        <w:t>c) intentional or accidental garbage discharge;</w:t>
        <w:br/>
        <w:t>d) pollution from installations exploiting seabed resources;</w:t>
        <w:br/>
        <w:t>e) pollution from devices operating in the marine environment.</w:t>
        <w:br/>
        <w:br/>
        <w:t>On the continental shelf, unauthorized dumping and pollution from any source are prohibited.</w:t>
      </w:r>
    </w:p>
    <w:p>
      <w:pPr>
        <w:pStyle w:val="Heading1"/>
      </w:pPr>
      <w:r>
        <w:t>Maritime fiscalization (Arts. 90–92)</w:t>
      </w:r>
    </w:p>
    <w:p>
      <w:r>
        <w:t>Maritime fiscalization covers control, monitoring and sanctioning of maritime activities. Environmental fiscalization includes pollution prevention and control of maritime waters. Public-health fiscalization includes marine litter control and mitigation and shoreline sanitation.</w:t>
        <w:br/>
        <w:br/>
        <w:t>CEFMAR (Maritime Fiscalization Operations Coordination Centre) integrates all entities with maritime fiscalization functions for coordinated enforcement.</w:t>
      </w:r>
    </w:p>
    <w:p>
      <w:pPr>
        <w:pStyle w:val="Heading1"/>
      </w:pPr>
      <w:r>
        <w:t>Crimes and contraventions (Arts. 93, 95)</w:t>
      </w:r>
    </w:p>
    <w:p>
      <w:r>
        <w:t>Maritime crimes include polluting the national maritime space or degrading the marine environment without legal compliance, including violation of MARPOL — penalty of 2 to 8 years imprisonment and fine.</w:t>
        <w:br/>
        <w:br/>
        <w:t>Contraventions include acts contrary to marine environment protection under Art. 42 and pollution control under Art. 58, with pecuniary sanctions and possible forfeiture of vessels and equipment to the State.</w:t>
      </w:r>
    </w:p>
    <w:p>
      <w:pPr>
        <w:pStyle w:val="Heading1"/>
      </w:pPr>
      <w:r>
        <w:t>Note on plastics</w:t>
      </w:r>
    </w:p>
    <w:p>
      <w:r>
        <w:t>The Sea Law does not mention plastics explicitly. Relevant provisions are: prohibitions on non-degradable substance discharge and garbage (lixo) dumping; explicit marine litter (lixo marinho) control mandate; MARPOL criminal liability covering vessel waste. Operational detail is in Decree 45/2006 and related regulations.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Lei do Mar (Lei n.º 20/2019)</w:t>
        <w:br/>
        <w:t>Instruments coded: 6 (consolidated — jurisdictional chapters not overcoded)</w:t>
        <w:br/>
        <w:t>See: 4P_Index_Mozambique_Law_20_2019_Sea_Law.xlsx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