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National Circular Economy Roadmap to 2030 (HRNEC)</w:t>
        <w:br/>
        <w:t>Hoja de Ruta Nacional de Economía Circular al 2030 (HRNEC)</w:t>
      </w:r>
    </w:p>
    <w:p>
      <w:pPr>
        <w:jc w:val="center"/>
      </w:pPr>
      <w:r>
        <w:t>Approved by DS 003-2025-MINAM (24 Feb 2025) | First edition: May 2025 (MINAM)</w:t>
        <w:br/>
        <w:t>Source: https://cdn.www.gob.pe/uploads/document/file/9548248/6507211-hoja-de-ruta-nacional-de-economia-circular-al-2030.pdf</w:t>
      </w:r>
    </w:p>
    <w:p>
      <w:pPr>
        <w:pStyle w:val="Heading1"/>
      </w:pPr>
      <w:r>
        <w:t>English Translation of Key Provisions</w:t>
      </w:r>
    </w:p>
    <w:p>
      <w:r>
        <w:t>English translation of principal provisions of the National Circular Economy Roadmap to 2030 (HRNEC) document.</w:t>
      </w:r>
    </w:p>
    <w:p>
      <w:pPr>
        <w:pStyle w:val="Heading2"/>
      </w:pPr>
      <w:r>
        <w:t>§1.1 — Circular economy definition</w:t>
      </w:r>
    </w:p>
    <w:p>
      <w:r>
        <w:rPr>
          <w:b/>
        </w:rPr>
        <w:t>Sistema económico que mantiene/recupera valor de productos, materiales y recursos y regenera ecosistemas (NTP-ISO 59004:2024).</w:t>
      </w:r>
    </w:p>
    <w:p>
      <w:pPr>
        <w:spacing w:after="160"/>
      </w:pPr>
      <w:r>
        <w:t>Economic system maintaining/recovering value of products, materials and resources and regenerating ecosystems (NTP-ISO 59004:2024).</w:t>
      </w:r>
    </w:p>
    <w:p>
      <w:pPr>
        <w:pStyle w:val="Heading2"/>
      </w:pPr>
      <w:r>
        <w:t>§2.1 — Country vision</w:t>
      </w:r>
    </w:p>
    <w:p>
      <w:r>
        <w:rPr>
          <w:b/>
        </w:rPr>
        <w:t>La economía circular es el principal motor del desarrollo sostenible del Perú.</w:t>
      </w:r>
    </w:p>
    <w:p>
      <w:pPr>
        <w:spacing w:after="160"/>
      </w:pPr>
      <w:r>
        <w:t>Circular economy is the main driver of Peru's sustainable development.</w:t>
      </w:r>
    </w:p>
    <w:p>
      <w:pPr>
        <w:pStyle w:val="Heading2"/>
      </w:pPr>
      <w:r>
        <w:t>OE 1-4 — Strategic objectives</w:t>
      </w:r>
    </w:p>
    <w:p>
      <w:r>
        <w:rPr>
          <w:b/>
        </w:rPr>
        <w:t>Cuatro pilares: gobernanza, innovación/negocios, consumo/cultura, territorios/ciudades.</w:t>
      </w:r>
    </w:p>
    <w:p>
      <w:pPr>
        <w:spacing w:after="160"/>
      </w:pPr>
      <w:r>
        <w:t>Four pillars: governance, innovation/business, consumption/culture, territories/cities.</w:t>
      </w:r>
    </w:p>
    <w:p>
      <w:pPr>
        <w:pStyle w:val="Heading2"/>
      </w:pPr>
      <w:r>
        <w:t>Tabla 1 — 2030 targets</w:t>
      </w:r>
    </w:p>
    <w:p>
      <w:r>
        <w:rPr>
          <w:b/>
        </w:rPr>
        <w:t>12 indicadores: VPM 2,29; %PBIec 2,0%; %VAL 45,2%; DHGRS 0,070; entre otros.</w:t>
      </w:r>
    </w:p>
    <w:p>
      <w:pPr>
        <w:spacing w:after="160"/>
      </w:pPr>
      <w:r>
        <w:t>12 indicators: VPM 2.29; %GDP from CE 2.0%; %VAL 45.2%; DHGRS 0.070; among others.</w:t>
      </w:r>
    </w:p>
    <w:p>
      <w:pPr>
        <w:pStyle w:val="Heading2"/>
      </w:pPr>
      <w:r>
        <w:t>AE 4.3 — Recycling corridors</w:t>
      </w:r>
    </w:p>
    <w:p>
      <w:r>
        <w:rPr>
          <w:b/>
        </w:rPr>
        <w:t>Corredores de reciclaje para RS aprovechables; Programa Recicla; excluye incineración.</w:t>
      </w:r>
    </w:p>
    <w:p>
      <w:pPr>
        <w:spacing w:after="160"/>
      </w:pPr>
      <w:r>
        <w:t>Recycling corridors for recoverable MSW; Recicla Programme; excludes incineration.</w:t>
      </w:r>
    </w:p>
    <w:p>
      <w:pPr>
        <w:pStyle w:val="Heading2"/>
      </w:pPr>
      <w:r>
        <w:t>AE 1.11 — Sectoral roadmaps</w:t>
      </w:r>
    </w:p>
    <w:p>
      <w:r>
        <w:rPr>
          <w:b/>
        </w:rPr>
        <w:t>Guía para HREC-S alineadas a HRNEC; sectores obligados PNCP.</w:t>
      </w:r>
    </w:p>
    <w:p>
      <w:pPr>
        <w:spacing w:after="160"/>
      </w:pPr>
      <w:r>
        <w:t>Guide for HREC-S aligned with HRNEC; PNCP-mandated sectors.</w:t>
      </w:r>
    </w:p>
    <w:p>
      <w:pPr>
        <w:pStyle w:val="Heading2"/>
      </w:pPr>
      <w:r>
        <w:t>§4 — Governance</w:t>
      </w:r>
    </w:p>
    <w:p>
      <w:r>
        <w:rPr>
          <w:b/>
        </w:rPr>
        <w:t>MINAM lidera implementación; CNEC como espacio de diálogo (PNCP Medida 9.2).</w:t>
      </w:r>
    </w:p>
    <w:p>
      <w:pPr>
        <w:spacing w:after="160"/>
      </w:pPr>
      <w:r>
        <w:t>MINAM leads implementation; CNEC as dialogue space (PNCP Measure 9.2).</w:t>
      </w:r>
    </w:p>
    <w:p>
      <w:pPr>
        <w:pStyle w:val="Heading2"/>
      </w:pPr>
      <w:r>
        <w:t>Anexo 1 — Single-use plastic</w:t>
      </w:r>
    </w:p>
    <w:p>
      <w:r>
        <w:rPr>
          <w:b/>
        </w:rPr>
        <w:t>Plástico de un solo uso: bien diseñado para un solo uso y corta vida útil.</w:t>
      </w:r>
    </w:p>
    <w:p>
      <w:pPr>
        <w:spacing w:after="160"/>
      </w:pPr>
      <w:r>
        <w:t>Single-use plastic: good designed for single use and short lifespan.</w:t>
      </w:r>
    </w:p>
    <w:p/>
    <w:p>
      <w:pPr>
        <w:jc w:val="center"/>
      </w:pPr>
      <w:r>
        <w:t>Note: HRNEC is the strategic document approved as Annex to DS 003-2025-MINAM. It complements sectoral plastics and solid-waste legislation through HREC-S, recycling corridors (AE 4.3) and municipal valorization targets (OE4-2).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