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Regulation of the Territorial Planning Law</w:t>
      </w:r>
    </w:p>
    <w:p>
      <w:pPr>
        <w:jc w:val="center"/>
      </w:pPr>
      <w:r>
        <w:t>Decree No. 23/2008 of 1 July</w:t>
      </w:r>
    </w:p>
    <w:p>
      <w:pPr>
        <w:jc w:val="center"/>
      </w:pPr>
      <w:r>
        <w:rPr>
          <w:i/>
        </w:rPr>
        <w:t>English translation of: Regulamento da Lei de Ordenamento do Território (Decreto n.º 23/2008)</w:t>
        <w:br/>
      </w:r>
      <w:r>
        <w:t>Translated for 4P Index policy analysis — 2026-06-23</w:t>
        <w:br/>
      </w:r>
      <w:r>
        <w:t>Source: https://sibmoz.gov.mz/content/uploads/2025/11/Decreto-n.o-23_2008_Regulamento-da-Lei-de-Ordenamento-do-Territorio.pdf</w:t>
      </w:r>
    </w:p>
    <w:p>
      <w:pPr>
        <w:pStyle w:val="Heading1"/>
      </w:pPr>
      <w:r>
        <w:t>Decree No. 23/2008 — Enacting Provisions</w:t>
      </w:r>
    </w:p>
    <w:p>
      <w:r>
        <w:t>Law No. 19/2007 of 18 July established the legal framework for Mozambique's Territorial Planning Policy and the legal bases for national territorial planning instruments.</w:t>
        <w:br/>
        <w:br/>
        <w:t>Regulatory measures and procedures are required to ensure rational and sustainable occupation and use of natural resources, valorisation of regional potential, infrastructure and urban systems, national cohesion and population security, under Law 19/2007 Art. 30.</w:t>
        <w:br/>
        <w:br/>
        <w:t>The Council of Ministers decrees:</w:t>
        <w:br/>
        <w:br/>
        <w:t>Article 1. The Regulation of the Territorial Planning Law, attached hereto, is approved as an integral part of this Decree.</w:t>
        <w:br/>
        <w:br/>
        <w:t>Article 2. The Ministers for Environmental Action Coordination, Finance and Justice shall define appropriate expropriation procedures under the Territorial Planning Law, this Decree and applicable legislation.</w:t>
        <w:br/>
        <w:br/>
        <w:t>Article 3. This Decree enters into force ninety days after publication.</w:t>
        <w:br/>
        <w:br/>
        <w:t>Approved by the Council of Ministers on 13 May 2008. Published 1 July 2008.</w:t>
        <w:br/>
        <w:t>Signed: Luísa Dias Diogo, Prime Minister.</w:t>
      </w:r>
    </w:p>
    <w:p>
      <w:pPr>
        <w:pStyle w:val="Heading1"/>
      </w:pPr>
      <w:r>
        <w:t>Chapter I — General Provisions (summary)</w:t>
      </w:r>
    </w:p>
    <w:p>
      <w:r>
        <w:t>Art. 1: Definitions (local community, sustainable development, planning instruments, rural/urban land, territory, etc.).</w:t>
        <w:br/>
        <w:br/>
        <w:t>Art. 2: Object — establish the legal regime of territorial planning instruments.</w:t>
        <w:br/>
        <w:br/>
        <w:t>Art. 3: Scope — entire national territory; regulates relations among administration levels and public/private subjects including communities.</w:t>
        <w:br/>
        <w:br/>
        <w:t>Art. 4: Intervention levels and instruments — national (PNDT, Special Plans), provincial (PPDT), district (PDUT), municipal (PEU, PGU, PPU, Detail Plans).</w:t>
        <w:br/>
        <w:br/>
        <w:t>Art. 5: General instruments — soil qualification, classification, National Land Cadastre, environmental/social/economic inventories, zoning, geological map, mining cadastre.</w:t>
      </w:r>
    </w:p>
    <w:p>
      <w:pPr>
        <w:pStyle w:val="Heading1"/>
      </w:pPr>
      <w:r>
        <w:t>Chapter II — Elaboration Process (summary)</w:t>
      </w:r>
    </w:p>
    <w:p>
      <w:r>
        <w:t>Arts. 6–11: Minimum phases (objectives, inventory, diagnosis, alternatives, decision, monitoring, review); sectoral coordination; competences for elaboration and approval at each level; ratification; amendment; review; suspension; publicity requirements.</w:t>
      </w:r>
    </w:p>
    <w:p>
      <w:pPr>
        <w:pStyle w:val="Heading1"/>
      </w:pPr>
      <w:r>
        <w:t>Section II — Urban Structure Plan (plastic-relevant)</w:t>
      </w:r>
    </w:p>
    <w:p>
      <w:pPr>
        <w:pStyle w:val="Heading2"/>
      </w:pPr>
      <w:r>
        <w:t>Article 42 — PEU objectives</w:t>
      </w:r>
    </w:p>
    <w:p>
      <w:r>
        <w:t>The Urban Structure Plan (PEU) shall:</w:t>
        <w:br/>
        <w:t>a) Establish environmental sustainability principles, main access networks, urban development priorities and general parameters for municipal territory occupation;</w:t>
        <w:br/>
        <w:t>b) Eliminate social asymmetries and privileges in locating infrastructure, services and social facilities;</w:t>
        <w:br/>
        <w:t>c) Define principles and models for municipal territorial ordering.</w:t>
        <w:br/>
        <w:br/>
        <w:t>Materialisation of (c) requires definition of:</w:t>
        <w:br/>
        <w:t>a) Primary accessibility network structure;</w:t>
        <w:br/>
        <w:t>b) Major surface-water runoff control systems and progressive execution principles;</w:t>
        <w:br/>
        <w:t>c) Solid-waste treatment systems and zones for reception and processing;</w:t>
        <w:br/>
        <w:t>d) Principles for cemetery construction and location;</w:t>
        <w:br/>
        <w:t>e) Multifunctional activity-centre network;</w:t>
        <w:br/>
        <w:t>f) General principles and parameters for public-space use;</w:t>
        <w:br/>
        <w:t>g) Principles for public/private motor transport and progressive pedestrianisation.</w:t>
      </w:r>
    </w:p>
    <w:p>
      <w:pPr>
        <w:pStyle w:val="Heading2"/>
      </w:pPr>
      <w:r>
        <w:t>Article 43 — PEU content</w:t>
      </w:r>
    </w:p>
    <w:p>
      <w:r>
        <w:t>PEU elements include: land-occupation forms and rules; territorial ordering principles; biophysical/ecological characterisation; demographic structure; economic/social/cultural activities; detailed mapping of zones for polluting and/or incompatible industrial activities; environmental protection and ecologically important areas; road network and equipment distribution; projected financial needs; graphic maps and schemes.</w:t>
      </w:r>
    </w:p>
    <w:p>
      <w:pPr>
        <w:pStyle w:val="Heading1"/>
      </w:pPr>
      <w:r>
        <w:t>Section III — General/Partial Urbanisation Plans (plastic-relevant)</w:t>
      </w:r>
    </w:p>
    <w:p>
      <w:pPr>
        <w:pStyle w:val="Heading2"/>
      </w:pPr>
      <w:r>
        <w:t>Article 44 — GPU/PPU objectives</w:t>
      </w:r>
    </w:p>
    <w:p>
      <w:r>
        <w:t>GPU/PPU objectives include:</w:t>
        <w:br/>
        <w:t>a) Materialise PEU principles and parameters;</w:t>
        <w:br/>
        <w:t>b) Population evolution and urban occupation models;</w:t>
        <w:br/>
        <w:t>c) Public-space reserves;</w:t>
        <w:br/>
        <w:t>d) Subdivision geometry for urban uses;</w:t>
        <w:br/>
        <w:t>e) Exceptional landscape/cultural heritage areas;</w:t>
        <w:br/>
        <w:t>f) Urban areas to requalify with essential infrastructure;</w:t>
        <w:br/>
        <w:t>g) General and local road structure;</w:t>
        <w:br/>
        <w:t>h) Location of railways, high-voltage lines, aqueducts, surface-water and used-water drainage systems and other public-interest infrastructure;</w:t>
        <w:br/>
        <w:t>i) Pedestrianisation principles;</w:t>
        <w:br/>
        <w:t>j) Spatial units for partial/detail plans;</w:t>
        <w:br/>
        <w:t>k) Quantitative/qualitative indicators and urban parameters.</w:t>
      </w:r>
    </w:p>
    <w:p>
      <w:pPr>
        <w:pStyle w:val="Heading2"/>
      </w:pPr>
      <w:r>
        <w:t>Article 4 — GPU/PPU definitions</w:t>
      </w:r>
    </w:p>
    <w:p>
      <w:r>
        <w:t>General Urbanisation Plan (PGU): structures and qualifies all urban land, defining transport, communications, energy and sanitation networks plus social facilities.</w:t>
        <w:br/>
        <w:br/>
        <w:t>Partial Urbanisation Plan (PPU): same requirements for partial urban territory.</w:t>
      </w:r>
    </w:p>
    <w:p>
      <w:pPr>
        <w:pStyle w:val="Heading1"/>
      </w:pPr>
      <w:r>
        <w:t>Environmental Instruments and Enforcement (summary)</w:t>
      </w:r>
    </w:p>
    <w:p>
      <w:r>
        <w:t>Arts. 51–52: Soil classification for ecological structure preservation.</w:t>
        <w:br/>
        <w:t>Arts. 58–59: Environmental, social and economic inventories as planning data bases.</w:t>
        <w:br/>
        <w:t>Art. 60: Zoning to prevent environmental degradation.</w:t>
        <w:br/>
        <w:br/>
        <w:t>Chapter XII — Arts. 77–82: Fiscalization of Regulation compliance; violations of planning instruments subject to administrative, civil, disciplinary and criminal liability; administrative fines.</w:t>
      </w:r>
    </w:p>
    <w:p>
      <w:pPr>
        <w:pStyle w:val="Heading1"/>
      </w:pPr>
      <w:r>
        <w:t>Note on Plastics and Solid Waste</w:t>
      </w:r>
    </w:p>
    <w:p>
      <w:r>
        <w:t>Decree 23/2008 contains no explicit reference to plastics (plástico). Plastic-relevant content:</w:t>
        <w:br/>
        <w:br/>
        <w:t>— Art. 42(2)(c): explicit solid-waste treatment systems and reception/processing zones in PEU (resíduos sólidos);</w:t>
        <w:br/>
        <w:t>— Arts. 4, 44: sanitation networks and wastewater/stormwater drainage in GPU/PPU;</w:t>
        <w:br/>
        <w:t>— Art. 43(f)–(g): polluting industrial zones and environmental protection areas;</w:t>
        <w:br/>
        <w:t>— Arts. 42(1)(a), 51, 60: environmental sustainability framework;</w:t>
        <w:br/>
        <w:t>— Arts. 77–82: fiscalization and sanctions.</w:t>
        <w:br/>
        <w:br/>
        <w:t>No quantified plastic-reduction, recycling or EPR targets and no waste-specific budget lines. Operational collection, recycling and plastic-bag rules remain in Decree 94/2014, Decree 16/2015, etc. This regulation operationalises Law 19/2007 Art. 10 municipal instruments.</w:t>
      </w:r>
    </w:p>
    <w:p>
      <w:r>
        <w:br w:type="page"/>
      </w:r>
    </w:p>
    <w:p>
      <w:pPr>
        <w:pStyle w:val="Heading1"/>
      </w:pPr>
      <w:r>
        <w:t>4P Index Coding Summary</w:t>
      </w:r>
    </w:p>
    <w:p>
      <w:r>
        <w:t>Policy: Regulamento da Lei de Ordenamento do Território (Decreto n.º 23/2008)</w:t>
        <w:br/>
        <w:t>Instruments coded: 6</w:t>
        <w:br/>
        <w:t>E — policy_target: 0</w:t>
        <w:br/>
        <w:t>K — policy_circularity: 0.5 (disposal, environmental leakage)</w:t>
        <w:br/>
        <w:t>See: 4P_Index_Mozambique_Decree_23_2008_LOT_Regulation.xlsx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