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Ministerial Resolution No. 191-2016-MINAM – National Comprehensive Solid Waste Management Plan (PLANRES) 2016–2024</w:t>
        <w:br/>
        <w:t>Resolución Ministerial N.° 191-2016-MINAM – Plan Nacional de Gestión Integral de Residuos Sólidos (PLANRES) 2016–2024</w:t>
      </w:r>
    </w:p>
    <w:p>
      <w:pPr>
        <w:jc w:val="center"/>
      </w:pPr>
      <w:r>
        <w:t>Approved: 30 June 2016 (RM 191-2016-MINAM) | Plan period: 2016–2024</w:t>
        <w:br/>
        <w:t>Under update since 2023 (2nd deliverable published 27 December 2023); new PLANRES pending as of 2026</w:t>
        <w:br/>
        <w:t>Source: https://sinia.minam.gob.pe/documentos/plan-nacional-gestion-integral-residuos-solidos-planres</w:t>
      </w:r>
    </w:p>
    <w:p>
      <w:pPr>
        <w:pStyle w:val="Heading1"/>
      </w:pPr>
      <w:r>
        <w:t>English Translation of Key Provisions</w:t>
      </w:r>
    </w:p>
    <w:p>
      <w:r>
        <w:t>English translation of principal provisions of the National Comprehensive Solid Waste Management Plan (PLANRES) 2016–2024, approved by Ministerial Resolution No. 191-2016-MINAM.</w:t>
      </w:r>
    </w:p>
    <w:p>
      <w:pPr>
        <w:pStyle w:val="Heading2"/>
      </w:pPr>
      <w:r>
        <w:t>Introduction — Plan purpose</w:t>
      </w:r>
    </w:p>
    <w:p>
      <w:r>
        <w:rPr>
          <w:b/>
        </w:rPr>
        <w:t>El objetivo del Plan es reducir la producción nacional de residuos sólidos y controlar los riesgos sanitarios y ambientales asociados... incrementar la calidad y cobertura de los servicios... recolección selectiva; reducir, recuperar, reutilizar y reciclar los residuos...</w:t>
      </w:r>
    </w:p>
    <w:p>
      <w:pPr>
        <w:spacing w:after="160"/>
      </w:pPr>
      <w:r>
        <w:t>The Plan aims to reduce national solid-waste production and control associated sanitary and environmental risks, including permanent environmental education, citizen participation, improved service quality and coverage including selective collection, and reducing, recovering, reusing and recycling waste with safe final disposal of non-recovered fractions.</w:t>
      </w:r>
    </w:p>
    <w:p>
      <w:pPr>
        <w:pStyle w:val="Heading2"/>
      </w:pPr>
      <w:r>
        <w:t>Section 2 — Scope</w:t>
      </w:r>
    </w:p>
    <w:p>
      <w:r>
        <w:rPr>
          <w:b/>
        </w:rPr>
        <w:t>El Plan Nacional... su ámbito de acción se extiende a nivel nacional y se aplica a todas las actividades... desde la generación hasta la disposición final...</w:t>
      </w:r>
    </w:p>
    <w:p>
      <w:pPr>
        <w:spacing w:after="160"/>
      </w:pPr>
      <w:r>
        <w:t>The National Plan applies nationwide to all solid-waste management activities from generation to final disposal, including transit and import, for municipal and non-municipal waste at national, regional and local levels.</w:t>
      </w:r>
    </w:p>
    <w:p>
      <w:pPr>
        <w:pStyle w:val="Heading2"/>
      </w:pPr>
      <w:r>
        <w:t>Section 4 — Baseline (plastics in waste composition)</w:t>
      </w:r>
    </w:p>
    <w:p>
      <w:r>
        <w:rPr>
          <w:b/>
        </w:rPr>
        <w:t>los materiales altamente reciclables como el papel, cartón, plásticos, metales... representan el 20,3%... El reciclaje alcanza al 14,7%... corresponde principalmente a papeles, plásticos y metales...</w:t>
      </w:r>
    </w:p>
    <w:p>
      <w:pPr>
        <w:spacing w:after="160"/>
      </w:pPr>
      <w:r>
        <w:t>Highly recyclable materials including paper, cardboard, plastics and metals represent 20.3% of municipal waste by weight. Recycling reaches 14.7% of generated waste, mainly papers, plastics and metals; metal recycling is most efficient.</w:t>
      </w:r>
    </w:p>
    <w:p>
      <w:pPr>
        <w:pStyle w:val="Heading2"/>
      </w:pPr>
      <w:r>
        <w:t>Section 5 — Prevention and recycling principles</w:t>
      </w:r>
    </w:p>
    <w:p>
      <w:r>
        <w:rPr>
          <w:b/>
        </w:rPr>
        <w:t>1.2 Prevención y minimización... 1.6 Reciclaje... Se facilitará a través de la valorización de los residuos, la recuperación directa...</w:t>
      </w:r>
    </w:p>
    <w:p>
      <w:pPr>
        <w:spacing w:after="160"/>
      </w:pPr>
      <w:r>
        <w:t>Principles 1.2 Prevention and minimization and 1.6 Recycling: waste valorization and direct recovery will be facilitated, strengthening formal reuse/recycling and markets for recovered products.</w:t>
      </w:r>
    </w:p>
    <w:p>
      <w:pPr>
        <w:pStyle w:val="Heading2"/>
      </w:pPr>
      <w:r>
        <w:t>Section 6 — General objectives</w:t>
      </w:r>
    </w:p>
    <w:p>
      <w:r>
        <w:rPr>
          <w:b/>
        </w:rPr>
        <w:t>Objetivo 1: calidad y cobertura universal... Objetivo 2: consumo sostenible y maximizar reutilización y reciclaje... Objetivo 3: fortalecer la gestión integral...</w:t>
      </w:r>
    </w:p>
    <w:p>
      <w:pPr>
        <w:spacing w:after="160"/>
      </w:pPr>
      <w:r>
        <w:t>Objective 1: universal quality and coverage of waste services. Objective 2: sustainable consumption and maximum reuse/recycling. Objective 3: strengthen integrated management coordinating institutions, corporate responsibility, citizen participation and information access.</w:t>
      </w:r>
    </w:p>
    <w:p>
      <w:pPr>
        <w:pStyle w:val="Heading2"/>
      </w:pPr>
      <w:r>
        <w:t>Program 1.1 — Selective collection capacity targets</w:t>
      </w:r>
    </w:p>
    <w:p>
      <w:r>
        <w:rPr>
          <w:b/>
        </w:rPr>
        <w:t>En 5 años 70% de los funcionarios municipales... han recibido capacitación... 80% de centros educativos... recolección selectiva...</w:t>
      </w:r>
    </w:p>
    <w:p>
      <w:pPr>
        <w:spacing w:after="160"/>
      </w:pPr>
      <w:r>
        <w:t>Within 5 years: 70% of municipal officials linked to solid waste trained; 80% of public schools incorporate and implement selective-collection curriculum content.</w:t>
      </w:r>
    </w:p>
    <w:p>
      <w:pPr>
        <w:pStyle w:val="Heading2"/>
      </w:pPr>
      <w:r>
        <w:t>Program 1.2 — Minimization and occupational health</w:t>
      </w:r>
    </w:p>
    <w:p>
      <w:r>
        <w:rPr>
          <w:b/>
        </w:rPr>
        <w:t>reducción de la producción per cápita... alcanza el 10%... 100% de los manipuladores... programa de salud Ocupacional...</w:t>
      </w:r>
    </w:p>
    <w:p>
      <w:pPr>
        <w:spacing w:after="160"/>
      </w:pPr>
      <w:r>
        <w:t>Within 5 years in main cities: 10% per-capita reduction in municipal waste generation; 100% of waste handlers covered by occupational health programs; eradication of child labor in waste handling within 10 years.</w:t>
      </w:r>
    </w:p>
    <w:p>
      <w:pPr>
        <w:pStyle w:val="Heading2"/>
      </w:pPr>
      <w:r>
        <w:t>Program 2.1 — Municipal selective-collection ordinances</w:t>
      </w:r>
    </w:p>
    <w:p>
      <w:r>
        <w:rPr>
          <w:b/>
        </w:rPr>
        <w:t>En 4 años 100 municipios provinciales cuentan con ordenanzas para promover la recolección selectiva.</w:t>
      </w:r>
    </w:p>
    <w:p>
      <w:pPr>
        <w:spacing w:after="160"/>
      </w:pPr>
      <w:r>
        <w:t>Within 4 years 100 provincial municipalities have ordinances promoting selective collection.</w:t>
      </w:r>
    </w:p>
    <w:p>
      <w:pPr>
        <w:pStyle w:val="Heading2"/>
      </w:pPr>
      <w:r>
        <w:t>Program 3.2 — Adequate disposal and dump closure</w:t>
      </w:r>
    </w:p>
    <w:p>
      <w:r>
        <w:rPr>
          <w:b/>
        </w:rPr>
        <w:t>En 10 años el 95% de los residuos... se dispone adecuadamente... 100% de los botaderos municipales clausurados, recuperados y restaurados...</w:t>
      </w:r>
    </w:p>
    <w:p>
      <w:pPr>
        <w:spacing w:after="160"/>
      </w:pPr>
      <w:r>
        <w:t>Within 10 years: 95% of municipal and non-municipal waste adequately disposed; 100% of municipal dumps closed, recovered and restored; 40% of provincial municipalities with selective-collection systems within 5 years.</w:t>
      </w:r>
    </w:p>
    <w:p>
      <w:pPr>
        <w:pStyle w:val="Heading2"/>
      </w:pPr>
      <w:r>
        <w:t>Section 9 — Financing mechanisms</w:t>
      </w:r>
    </w:p>
    <w:p>
      <w:r>
        <w:rPr>
          <w:b/>
        </w:rPr>
        <w:t>Canje de deuda por medio ambiente... Fondos Mundiales... Presupuesto del Tesoro Público... Fondos especiales de desarrollo regional y municipal.</w:t>
      </w:r>
    </w:p>
    <w:p>
      <w:pPr>
        <w:spacing w:after="160"/>
      </w:pPr>
      <w:r>
        <w:t>Financing mechanisms: debt-for-nature swap; global sustainable-development funds and international cooperation; public treasury budget; special regional and municipal development funds. Investment program targets US$100 million over 10 years.</w:t>
      </w:r>
    </w:p>
    <w:p>
      <w:pPr>
        <w:pStyle w:val="Heading2"/>
      </w:pPr>
      <w:r>
        <w:t>Section 10 — Monitoring and review</w:t>
      </w:r>
    </w:p>
    <w:p>
      <w:r>
        <w:rPr>
          <w:b/>
        </w:rPr>
        <w:t>Reuniones... evaluación anual... monitoreo semestral... informes anuales... al CONAM...</w:t>
      </w:r>
    </w:p>
    <w:p>
      <w:pPr>
        <w:spacing w:after="160"/>
      </w:pPr>
      <w:r>
        <w:t>Monitoring: annual operational planning meetings; annual Plan evaluation convened by CONAM; semiannual operational monitoring; annual sector and municipal waste-management reports to CONAM under Regulation Art. 120.</w:t>
      </w:r>
    </w:p>
    <w:p/>
    <w:p>
      <w:pPr>
        <w:jc w:val="center"/>
      </w:pPr>
      <w:r>
        <w:t>Note: PLANRES was approved under CONAM (now integrated into MINAM). It implements obligations under the former General Solid Waste Law (Law No. 27314, later replaced by DL 1278). The 2016–2024 plan remains the operative national plan while an updated PLANRES is under development (consultation deliverables published December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