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001-2022-MINAM – Amendments to the Regulation of Legislative Decree No. 1278 and the Regulation of Law No. 29419 (Waste Pickers Law)</w:t>
        <w:br/>
        <w:t>Decreto Supremo N.° 001-2022-MINAM – Modifica el Reglamento del D.L. N.° 1278 y el Reglamento de la Ley N.° 29419</w:t>
      </w:r>
    </w:p>
    <w:p>
      <w:pPr>
        <w:jc w:val="center"/>
      </w:pPr>
      <w:r>
        <w:t>Signed: 7 January 2022 | Published: 9 January 2022 (El Peruano)</w:t>
        <w:br/>
        <w:t>Amends DS 014-2017-MINAM (DL 1278) and DS 005-2010-MINAM (Law 29419)</w:t>
        <w:br/>
        <w:t>Source: https://www.gob.pe/institucion/minam/normas-legales/2649587-001-2022-minam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001-2022-MINAM amending the solid-waste and waste-pickers regulations.</w:t>
      </w:r>
    </w:p>
    <w:p>
      <w:pPr>
        <w:pStyle w:val="Heading2"/>
      </w:pPr>
      <w:r>
        <w:t>Art. 1 — Purpose</w:t>
      </w:r>
    </w:p>
    <w:p>
      <w:r>
        <w:rPr>
          <w:b/>
        </w:rPr>
        <w:t>Modificar el Reglamento del DL 1278 y el Reglamento de la Ley 29419.</w:t>
      </w:r>
    </w:p>
    <w:p>
      <w:pPr>
        <w:spacing w:after="160"/>
      </w:pPr>
      <w:r>
        <w:t>Amend the DL 1278 Regulation and the Law 29419 Regulation.</w:t>
      </w:r>
    </w:p>
    <w:p>
      <w:pPr>
        <w:pStyle w:val="Heading2"/>
      </w:pPr>
      <w:r>
        <w:t>Amended Art. 11 — Segregation Program</w:t>
      </w:r>
    </w:p>
    <w:p>
      <w:r>
        <w:rPr>
          <w:b/>
        </w:rPr>
        <w:t>Programa de Segregación en la Fuente y Recolección Selectiva obligatorio para municipalidades; incluye inorgánicos aprovechables (plásticos), rutas, recicladores y educación ambiental.</w:t>
      </w:r>
    </w:p>
    <w:p>
      <w:pPr>
        <w:spacing w:after="160"/>
      </w:pPr>
      <w:r>
        <w:t>Mandatory Source Segregation and Selective Collection Program for municipalities; includes recoverable inorganics (plastics), routes, recyclers and environmental education.</w:t>
      </w:r>
    </w:p>
    <w:p>
      <w:pPr>
        <w:pStyle w:val="Heading2"/>
      </w:pPr>
      <w:r>
        <w:t>Amended Art. 19 — Source segregation</w:t>
      </w:r>
    </w:p>
    <w:p>
      <w:r>
        <w:rPr>
          <w:b/>
        </w:rPr>
        <w:t>Generadores municipales tienen obligación de segregar residuos en la fuente.</w:t>
      </w:r>
    </w:p>
    <w:p>
      <w:pPr>
        <w:spacing w:after="160"/>
      </w:pPr>
      <w:r>
        <w:t>Municipal generators must segregate waste at source.</w:t>
      </w:r>
    </w:p>
    <w:p>
      <w:pPr>
        <w:pStyle w:val="Heading2"/>
      </w:pPr>
      <w:r>
        <w:t>Amended Art. 28 — Selective collection</w:t>
      </w:r>
    </w:p>
    <w:p>
      <w:r>
        <w:rPr>
          <w:b/>
        </w:rPr>
        <w:t>Recolección selectiva de aprovechables por organizaciones de recicladores formalizados bajo Ley 29419.</w:t>
      </w:r>
    </w:p>
    <w:p>
      <w:pPr>
        <w:spacing w:after="160"/>
      </w:pPr>
      <w:r>
        <w:t>Selective collection of recoverables by formalized recycler organizations under Law 29419.</w:t>
      </w:r>
    </w:p>
    <w:p>
      <w:pPr>
        <w:pStyle w:val="Heading2"/>
      </w:pPr>
      <w:r>
        <w:t>Art. 13-B — National Recycler Registry</w:t>
      </w:r>
    </w:p>
    <w:p>
      <w:r>
        <w:rPr>
          <w:b/>
        </w:rPr>
        <w:t>Registro Nacional de Recicladores administrado por MINAM; reporte vía SIGERSOL en 10 días hábiles desde formalización.</w:t>
      </w:r>
    </w:p>
    <w:p>
      <w:pPr>
        <w:spacing w:after="160"/>
      </w:pPr>
      <w:r>
        <w:t>National Recycler Registry administered by MINAM; reporting via SIGERSOL within 10 business days of formalization.</w:t>
      </w:r>
    </w:p>
    <w:p>
      <w:pPr>
        <w:pStyle w:val="Heading2"/>
      </w:pPr>
      <w:r>
        <w:t>Art. 34 (Law 29419) — Formalization</w:t>
      </w:r>
    </w:p>
    <w:p>
      <w:r>
        <w:rPr>
          <w:b/>
        </w:rPr>
        <w:t>Requisitos de formalización de recicladores con evaluación en 15 días hábiles.</w:t>
      </w:r>
    </w:p>
    <w:p>
      <w:pPr>
        <w:spacing w:after="160"/>
      </w:pPr>
      <w:r>
        <w:t>Recycler formalization requirements with 15-business-day evaluation.</w:t>
      </w:r>
    </w:p>
    <w:p>
      <w:pPr>
        <w:pStyle w:val="Heading2"/>
      </w:pPr>
      <w:r>
        <w:t>Annex B3011 — Plastic waste</w:t>
      </w:r>
    </w:p>
    <w:p>
      <w:r>
        <w:rPr>
          <w:b/>
        </w:rPr>
        <w:t>Desechos plásticos PE, PP y PET destinados al reciclaje por separado.</w:t>
      </w:r>
    </w:p>
    <w:p>
      <w:pPr>
        <w:spacing w:after="160"/>
      </w:pPr>
      <w:r>
        <w:t>Plastic waste PE, PP and PET destined for separate recycling.</w:t>
      </w:r>
    </w:p>
    <w:p>
      <w:pPr>
        <w:pStyle w:val="Heading2"/>
      </w:pPr>
      <w:r>
        <w:t>DCF Primera — Deadline</w:t>
      </w:r>
    </w:p>
    <w:p>
      <w:r>
        <w:rPr>
          <w:b/>
        </w:rPr>
        <w:t>Municipalidades aprueban Programas de Segregación en 180 días calendario.</w:t>
      </w:r>
    </w:p>
    <w:p>
      <w:pPr>
        <w:spacing w:after="160"/>
      </w:pPr>
      <w:r>
        <w:t>Municipalities approve Segregation Programs within 180 calendar days.</w:t>
      </w:r>
    </w:p>
    <w:p/>
    <w:p>
      <w:pPr>
        <w:jc w:val="center"/>
      </w:pPr>
      <w:r>
        <w:t>Note: DS 001-2022-MINAM substantially updates DL 1278 and Law 29419 implementing regulations. It strengthens segregation-at-source, recycler formalization pathways, SIGERSOL traceability and transport rules relevant to post-consumer plastics recovery.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