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Law No. 31896 – Law that Amends Legislative Decree No. 1278, Introducing Industrialization of Recycling</w:t>
        <w:br/>
        <w:t>Ley N.° 31896 – Ley que modifica el Decreto Legislativo 1278 e introduce la industrialización del reciclaje</w:t>
      </w:r>
    </w:p>
    <w:p>
      <w:pPr>
        <w:jc w:val="center"/>
      </w:pPr>
      <w:r>
        <w:t>Congress enacted: 21 September 2023 | Promulgated: 10 October 2023 | Published: 11 October 2023 (El Peruano)</w:t>
        <w:br/>
        <w:t>Not amended</w:t>
        <w:br/>
        <w:t>Source: https://www.gob.pe/institucion/minam/normas-legales/4728521-31896</w:t>
      </w:r>
    </w:p>
    <w:p>
      <w:pPr>
        <w:pStyle w:val="Heading1"/>
      </w:pPr>
      <w:r>
        <w:t>English Translation of Key Provisions</w:t>
      </w:r>
    </w:p>
    <w:p>
      <w:r>
        <w:t>English translation of principal provisions of Law No. 31896 amending Legislative Decree No. 1278 to introduce recycling industrialization.</w:t>
      </w:r>
    </w:p>
    <w:p>
      <w:pPr>
        <w:pStyle w:val="Heading2"/>
      </w:pPr>
      <w:r>
        <w:t>Single Article — Amendments</w:t>
      </w:r>
    </w:p>
    <w:p>
      <w:r>
        <w:rPr>
          <w:b/>
        </w:rPr>
        <w:t>Modifica los artículos 6 (e), 15 (b) y 21 (a) del Decreto Legislativo 1278.</w:t>
      </w:r>
    </w:p>
    <w:p>
      <w:pPr>
        <w:spacing w:after="160"/>
      </w:pPr>
      <w:r>
        <w:t>Amends Articles 6 (e), 15 (b) and 21 (a) of Legislative Decree 1278.</w:t>
      </w:r>
    </w:p>
    <w:p>
      <w:pPr>
        <w:pStyle w:val="Heading2"/>
      </w:pPr>
      <w:r>
        <w:t>Art. 6(e) — Valorization guideline</w:t>
      </w:r>
    </w:p>
    <w:p>
      <w:r>
        <w:rPr>
          <w:b/>
        </w:rPr>
        <w:t>Fomentar la valorización de residuos sólidos, priorizando la promoción de la inversión pública, privada y mixta en infraestructura de valorización.</w:t>
      </w:r>
    </w:p>
    <w:p>
      <w:pPr>
        <w:spacing w:after="160"/>
      </w:pPr>
      <w:r>
        <w:t>Foster solid-waste valorization, prioritizing promotion of public, private and mixed investment in valorization infrastructure.</w:t>
      </w:r>
    </w:p>
    <w:p>
      <w:pPr>
        <w:pStyle w:val="Heading2"/>
      </w:pPr>
      <w:r>
        <w:t>Art. 15(b) — PLANRES and MINAM oversight</w:t>
      </w:r>
    </w:p>
    <w:p>
      <w:r>
        <w:rPr>
          <w:b/>
        </w:rPr>
        <w:t>MINAM formula y aprueba PLANRES; monitorea y evalúa su implementación; dispone medidas correctivas; informa anualmente al Congreso y publica resultados.</w:t>
      </w:r>
    </w:p>
    <w:p>
      <w:pPr>
        <w:spacing w:after="160"/>
      </w:pPr>
      <w:r>
        <w:t>MINAM formulates and approves PLANRES; monitors and evaluates its implementation; issues corrective measures; annually reports to Congress and publishes results.</w:t>
      </w:r>
    </w:p>
    <w:p>
      <w:pPr>
        <w:pStyle w:val="Heading2"/>
      </w:pPr>
      <w:r>
        <w:t>Art. 21(a) — Regional investment</w:t>
      </w:r>
    </w:p>
    <w:p>
      <w:r>
        <w:rPr>
          <w:b/>
        </w:rPr>
        <w:t>Gobiernos regionales elaboran y ponen en marcha programas de inversión pública, mixta o privada para infraestructuras de valorización.</w:t>
      </w:r>
    </w:p>
    <w:p>
      <w:pPr>
        <w:spacing w:after="160"/>
      </w:pPr>
      <w:r>
        <w:t>Regional governments develop and launch public, mixed or private investment programs for valorization infrastructure.</w:t>
      </w:r>
    </w:p>
    <w:p>
      <w:pPr>
        <w:pStyle w:val="Heading2"/>
      </w:pPr>
      <w:r>
        <w:t>DCF Única — Regulatory adaptation</w:t>
      </w:r>
    </w:p>
    <w:p>
      <w:r>
        <w:rPr>
          <w:b/>
        </w:rPr>
        <w:t>Poder Ejecutivo adecúa el Reglamento del DL 1278 en 30 días calendario.</w:t>
      </w:r>
    </w:p>
    <w:p>
      <w:pPr>
        <w:spacing w:after="160"/>
      </w:pPr>
      <w:r>
        <w:t>Executive adapts the DL 1278 Regulation within 30 calendar days.</w:t>
      </w:r>
    </w:p>
    <w:p/>
    <w:p>
      <w:pPr>
        <w:jc w:val="center"/>
      </w:pPr>
      <w:r>
        <w:t>Note: Law 31896 introduces recycling industrialization into Peru's flagship solid-waste law (DL 1278). It strengthens MINAM's PLANRES monitoring role and enables regional valorization infrastructure investment, relevant to industrial-scale plastics recycling.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