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Regulation of Law No. 29419 (Waste Pickers Law) — Supreme Decree No. 005-2010-MINAM</w:t>
        <w:br/>
        <w:t>Reglamento de la Ley Nº 29419, Ley que regula la actividad de los recicladores (Decreto Supremo Nº 005-2010-MINAM)</w:t>
      </w:r>
    </w:p>
    <w:p>
      <w:pPr>
        <w:jc w:val="center"/>
      </w:pPr>
      <w:r>
        <w:t>Approved: 2 June 2010 | Last amended: 9 January 2022 (DS Nº 001-2022-MINAM)</w:t>
        <w:br/>
        <w:t>Source: https://sinia.minam.gob.pe/normas/reglamento-ley-no-29419-ley-que-regula-actividad-recicladores</w:t>
      </w:r>
    </w:p>
    <w:p>
      <w:pPr>
        <w:pStyle w:val="Heading1"/>
      </w:pPr>
      <w:r>
        <w:t>English Translation of Key Provisions</w:t>
      </w:r>
    </w:p>
    <w:p>
      <w:r>
        <w:t>English translation of principal provisions of Supreme Decree No. 005-2010-MINAM and its 2022 amendment (DS 001-2022-MINAM) affecting Articles 34, 38, and 39. Spanish headings retained for reference.</w:t>
      </w:r>
    </w:p>
    <w:p>
      <w:pPr>
        <w:pStyle w:val="Heading2"/>
      </w:pPr>
      <w:r>
        <w:t>Decree Articles 1–2 — Approval</w:t>
      </w:r>
    </w:p>
    <w:p>
      <w:r>
        <w:rPr>
          <w:b/>
        </w:rPr>
        <w:t>Artículo 1º: Apruébese el Reglamento de la Ley Nº 29419...</w:t>
      </w:r>
    </w:p>
    <w:p>
      <w:pPr>
        <w:spacing w:after="160"/>
      </w:pPr>
      <w:r>
        <w:t>Article 1: The Regulation of Law No. 29419, Law that Regulates the Activity of Recyclers, consisting of seven Titles, fifty-five Articles, three Final Complementary Provisions and two Annexes, is approved as an integral part of this Supreme Decree.</w:t>
      </w:r>
    </w:p>
    <w:p>
      <w:pPr>
        <w:pStyle w:val="Heading2"/>
      </w:pPr>
      <w:r>
        <w:t>Regulation Article 1 — Objective</w:t>
      </w:r>
    </w:p>
    <w:p>
      <w:r>
        <w:rPr>
          <w:b/>
        </w:rPr>
        <w:t>El objetivo del presente Reglamento es regular lo establecido en la Ley Nº 29419...</w:t>
      </w:r>
    </w:p>
    <w:p>
      <w:pPr>
        <w:spacing w:after="160"/>
      </w:pPr>
      <w:r>
        <w:t>The objective of this Regulation is to regulate provisions of Law No. 29419 to contribute to protection, training, and social/labor development of recycling workers, promoting formalization and association and improving adequate management for reuse of solid waste.</w:t>
      </w:r>
    </w:p>
    <w:p>
      <w:pPr>
        <w:pStyle w:val="Heading2"/>
      </w:pPr>
      <w:r>
        <w:t>Regulation Article 2 — Scope</w:t>
      </w:r>
    </w:p>
    <w:p>
      <w:r>
        <w:rPr>
          <w:b/>
        </w:rPr>
        <w:t>El presente Reglamento es de cumplimiento obligatorio a nivel nacional...</w:t>
      </w:r>
    </w:p>
    <w:p>
      <w:pPr>
        <w:spacing w:after="160"/>
      </w:pPr>
      <w:r>
        <w:t>This Regulation is of mandatory national compliance for persons engaged in selective management of non-hazardous solid waste and institutional actors under Law 29419.</w:t>
      </w:r>
    </w:p>
    <w:p>
      <w:pPr>
        <w:pStyle w:val="Heading2"/>
      </w:pPr>
      <w:r>
        <w:t>Regulation Article 5 — Ministry of Environment</w:t>
      </w:r>
    </w:p>
    <w:p>
      <w:r>
        <w:rPr>
          <w:b/>
        </w:rPr>
        <w:t>El Ministerio del Ambiente es responsable de: promover la gestión integral...</w:t>
      </w:r>
    </w:p>
    <w:p>
      <w:pPr>
        <w:spacing w:after="160"/>
      </w:pPr>
      <w:r>
        <w:t>The Ministry of Environment is responsible for: (5.1) promoting integrated solid waste management and recycler formalization; (5.2) systematizing municipal information on the Formalization and Selective Collection Program via SINIA; (5.3) promoting environmental education with municipalities.</w:t>
      </w:r>
    </w:p>
    <w:p>
      <w:pPr>
        <w:pStyle w:val="Heading2"/>
      </w:pPr>
      <w:r>
        <w:t>Regulation Article 7 — Local Governments (excerpt)</w:t>
      </w:r>
    </w:p>
    <w:p>
      <w:r>
        <w:rPr>
          <w:b/>
        </w:rPr>
        <w:t>Las Municipalidades... son las responsables de elaborar e implementar el Programa...</w:t>
      </w:r>
    </w:p>
    <w:p>
      <w:pPr>
        <w:spacing w:after="160"/>
      </w:pPr>
      <w:r>
        <w:t>District and provincial municipalities are responsible for: elaborating and implementing the Program of Formalization of Recyclers and Selective Collection; incorporating recycling studies and operational plans into PIGARS; annual reporting to MINAM; implementing source segregation incentives; fiscalizing segregation/collection/formalization; maintaining the Registry of Authorized Recycler Organizations.</w:t>
      </w:r>
    </w:p>
    <w:p>
      <w:pPr>
        <w:pStyle w:val="Heading2"/>
      </w:pPr>
      <w:r>
        <w:t>Regulation Article 19 — Authorized waste types (plastics)</w:t>
      </w:r>
    </w:p>
    <w:p>
      <w:r>
        <w:rPr>
          <w:b/>
        </w:rPr>
        <w:t>c) Plástico: todos los plásticos.</w:t>
      </w:r>
    </w:p>
    <w:p>
      <w:pPr>
        <w:spacing w:after="160"/>
      </w:pPr>
      <w:r>
        <w:t>c) Plastic: all plastics. (Also authorizes paper, cardboard, ferrous/non-ferrous metals, glass, rubber, textiles, and organics. Hazardous waste is excluded from collection scope.)</w:t>
      </w:r>
    </w:p>
    <w:p>
      <w:pPr>
        <w:pStyle w:val="Heading2"/>
      </w:pPr>
      <w:r>
        <w:t>Regulation Article 29 — Operational Plan and coverage target</w:t>
      </w:r>
    </w:p>
    <w:p>
      <w:r>
        <w:rPr>
          <w:b/>
        </w:rPr>
        <w:t>lograr cubrir progresivamente la totalidad de predios... el 100% de los predios...</w:t>
      </w:r>
    </w:p>
    <w:p>
      <w:pPr>
        <w:spacing w:after="160"/>
      </w:pPr>
      <w:r>
        <w:t>Municipalities must design an Operational Plan for Selective Collection to progressively cover all properties in their jurisdiction, including strategies to reach 100% property coverage, with annual physical and budget targets and biennial updates.</w:t>
      </w:r>
    </w:p>
    <w:p>
      <w:pPr>
        <w:pStyle w:val="Heading2"/>
      </w:pPr>
      <w:r>
        <w:t>Regulation Article 36 — Mandatory training</w:t>
      </w:r>
    </w:p>
    <w:p>
      <w:r>
        <w:rPr>
          <w:b/>
        </w:rPr>
        <w:t>Todos los recicladores deberán participar obligatoriamente de un Programa de Capacitación...</w:t>
      </w:r>
    </w:p>
    <w:p>
      <w:pPr>
        <w:spacing w:after="160"/>
      </w:pPr>
      <w:r>
        <w:t>All recyclers must mandatorily participate in a Training Program with at least four modules of three hours each: integrated waste management; occupational safety; business management and recycling; social skills and personal development. SENATI and other institutions may deliver the program.</w:t>
      </w:r>
    </w:p>
    <w:p>
      <w:pPr>
        <w:pStyle w:val="Heading2"/>
      </w:pPr>
      <w:r>
        <w:t>Regulation Article 47 — Household incentive bonus</w:t>
      </w:r>
    </w:p>
    <w:p>
      <w:r>
        <w:rPr>
          <w:b/>
        </w:rPr>
        <w:t>bono de incentivo dirigido a los vecinos... segregan sus residuos... al menos una vez por semana</w:t>
      </w:r>
    </w:p>
    <w:p>
      <w:pPr>
        <w:spacing w:after="160"/>
      </w:pPr>
      <w:r>
        <w:t>Municipalities progressively establish an incentive bonus for residents participating in the formalization program who segregate recoverable waste and deliver it to authorized recyclers at least once per week, with tariff discounts regulated by municipal ordinance.</w:t>
      </w:r>
    </w:p>
    <w:p>
      <w:pPr>
        <w:pStyle w:val="Heading2"/>
      </w:pPr>
      <w:r>
        <w:t>Regulation Article 48 — Enterprise environmental incentive</w:t>
      </w:r>
    </w:p>
    <w:p>
      <w:r>
        <w:rPr>
          <w:b/>
        </w:rPr>
        <w:t>más de 500 kg de residuos sólidos reaprovechables al año</w:t>
      </w:r>
    </w:p>
    <w:p>
      <w:pPr>
        <w:spacing w:after="160"/>
      </w:pPr>
      <w:r>
        <w:t>Enterprises/institutions implementing source segregation and donating recoverables to recycler organizations at least twice weekly receive municipal recognition; donation certificates are issued for deliveries exceeding 500 kg of recoverable waste per year.</w:t>
      </w:r>
    </w:p>
    <w:p>
      <w:pPr>
        <w:pStyle w:val="Heading2"/>
      </w:pPr>
      <w:r>
        <w:t>Regulation Article 51 — Sanctions</w:t>
      </w:r>
    </w:p>
    <w:p>
      <w:r>
        <w:rPr>
          <w:b/>
        </w:rPr>
        <w:t>bajo sanción pecuniaria e incautación de los vehículos y clausura de locales</w:t>
      </w:r>
    </w:p>
    <w:p>
      <w:pPr>
        <w:spacing w:after="160"/>
      </w:pPr>
      <w:r>
        <w:t>Municipalities must approve a Sanctions Regime including differentiated fines, vehicle seizure, and premises closure for informal recycling, unauthorized vehicles, collection by minors, hazardous waste collection, and other listed non-compliant conduct.</w:t>
      </w:r>
    </w:p>
    <w:p>
      <w:pPr>
        <w:pStyle w:val="Heading2"/>
      </w:pPr>
      <w:r>
        <w:t>Regulation Article 54 — FONAM credit and guarantee fund</w:t>
      </w:r>
    </w:p>
    <w:p>
      <w:r>
        <w:rPr>
          <w:b/>
        </w:rPr>
        <w:t>El FONAM implementará y administrará un Fondo de Garantía...</w:t>
      </w:r>
    </w:p>
    <w:p>
      <w:pPr>
        <w:spacing w:after="160"/>
      </w:pPr>
      <w:r>
        <w:t>FONAM will promote a credit program and implement/administer a Guarantee Fund for recyclers (individuals and organizations), capturing international/national cooperation and public/private donations, with monitoring and honoring of guarantees.</w:t>
      </w:r>
    </w:p>
    <w:p>
      <w:pPr>
        <w:pStyle w:val="Heading2"/>
      </w:pPr>
      <w:r>
        <w:t>2022 Amendment — Article 34 (formalization requirements)</w:t>
      </w:r>
    </w:p>
    <w:p>
      <w:r>
        <w:rPr>
          <w:b/>
        </w:rPr>
        <w:t>Las organizaciones de recicladores deben presentar... solicitud para su formalización</w:t>
      </w:r>
    </w:p>
    <w:p>
      <w:pPr>
        <w:spacing w:after="160"/>
      </w:pPr>
      <w:r>
        <w:t>Recycler organizations must submit formalization requests to municipalities with personal data, training certificates, vaccination cards, equipment/vehicle lists, and processing fees. Municipal evaluation within 15 business days; formalization certificate issued if requirements met (DS 001-2022-MINAM, replacing prior Art. 34 text).</w:t>
      </w:r>
    </w:p>
    <w:p>
      <w:pPr>
        <w:pStyle w:val="Heading2"/>
      </w:pPr>
      <w:r>
        <w:t>2022 Amendment — Article 38 (Municipal Registry)</w:t>
      </w:r>
    </w:p>
    <w:p>
      <w:r>
        <w:rPr>
          <w:b/>
        </w:rPr>
        <w:t>La municipalidad administra el Registro Municipal... reportada al MINAM, a través del SIGERSOL</w:t>
      </w:r>
    </w:p>
    <w:p>
      <w:pPr>
        <w:spacing w:after="160"/>
      </w:pPr>
      <w:r>
        <w:t>Municipalities administer the Registry of Recycler Organizations authorizing selective collection, transport, and conditioning. Information must be reported to MINAM through SIGERSOL for inclusion in the National Registry of Recyclers.</w:t>
      </w:r>
    </w:p>
    <w:p>
      <w:pPr>
        <w:pStyle w:val="Heading2"/>
      </w:pPr>
      <w:r>
        <w:t>2022 Amendment — National Registry (Art. 13-B, cross-reference)</w:t>
      </w:r>
    </w:p>
    <w:p>
      <w:r>
        <w:rPr>
          <w:b/>
        </w:rPr>
        <w:t>El Registro Nacional de Recicladores es administrado por la Dirección General de Gestión de Residuos Sólidos del MINAM</w:t>
      </w:r>
    </w:p>
    <w:p>
      <w:pPr>
        <w:spacing w:after="160"/>
      </w:pPr>
      <w:r>
        <w:t>The National Registry of Recyclers is administered by MINAM's DGGRS, is publicly accessible, and systematizes information on formalized recycler organizations and members. Municipalities report within 10 business days of issuing formalization certificates.</w:t>
      </w:r>
    </w:p>
    <w:p>
      <w:pPr>
        <w:pStyle w:val="Heading2"/>
      </w:pPr>
      <w:r>
        <w:t>Final Complementary Provisions</w:t>
      </w:r>
    </w:p>
    <w:p>
      <w:r>
        <w:rPr>
          <w:b/>
        </w:rPr>
        <w:t>implementar el Programa... en un plazo máximo de doce (12) meses</w:t>
      </w:r>
    </w:p>
    <w:p>
      <w:pPr>
        <w:spacing w:after="160"/>
      </w:pPr>
      <w:r>
        <w:t>From publication, municipalities must implement the Formalization and Selective Collection Program within 12 months. Municipalities with existing programs have 12 months to comply with Law and Regulation requirements.</w:t>
      </w:r>
    </w:p>
    <w:p/>
    <w:p>
      <w:pPr>
        <w:jc w:val="center"/>
      </w:pPr>
      <w:r>
        <w:t>Note: This regulation implements Law No. 29419. The 2022 amendment (DS 001-2022-MINAM) also modified the Regulation of the Solid Waste Management Law (DL 1278) and introduced the National Registry of Recyclers and updated formalization/registry procedures.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