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National Maritime Spatial Plan — POEM</w:t>
      </w:r>
    </w:p>
    <w:p>
      <w:pPr>
        <w:jc w:val="center"/>
      </w:pPr>
      <w:r>
        <w:t>Resolution No. 63/2024 of 15 November</w:t>
      </w:r>
    </w:p>
    <w:p>
      <w:pPr>
        <w:jc w:val="center"/>
      </w:pPr>
      <w:r>
        <w:rPr>
          <w:i/>
        </w:rPr>
        <w:t>English translation of: Plano Nacional de Ordenamento do Espaço Marítimo – POEM (Resolução n.º 63/2024)</w:t>
        <w:br/>
      </w:r>
      <w:r>
        <w:t>Translated for 4P Index policy analysis — 2026-06-22</w:t>
        <w:br/>
      </w:r>
      <w:r>
        <w:t>Source: https://sibmoz.gov.mz/content/uploads/2025/11/Resolucao-n.o-63_2024-que-aprova-o-Plano-de-Ordenamento-do-Espaco-Maritimo.pdf</w:t>
      </w:r>
    </w:p>
    <w:p>
      <w:pPr>
        <w:pStyle w:val="Heading1"/>
      </w:pPr>
      <w:r>
        <w:t>Resolution No. 63/2024 — Enacting Provisions</w:t>
      </w:r>
    </w:p>
    <w:p>
      <w:r>
        <w:t>Having regard to the need to establish a National Maritime Spatial Plan that balances different uses and promotes their harmonious development, under Article 84(3) of Law No. 20/2019 (Sea Law), the Council of Ministers resolves:</w:t>
        <w:br/>
        <w:br/>
        <w:t>Article 1. The National Maritime Spatial Plan, abbreviated POEM, is approved as an annex forming an integral part of this Resolution.</w:t>
        <w:br/>
        <w:br/>
        <w:t>Article 2. The Ministry responsible for the maritime sector shall ensure implementation of POEM.</w:t>
        <w:br/>
        <w:br/>
        <w:t>Article 3. This Resolution enters into force on the date of its publication.</w:t>
        <w:br/>
        <w:br/>
        <w:t>Approved by the Council of Ministers on 9 November 2021. Published in the Official Gazette (Boletim da República), Series I, No. 222, 15 November 2024.</w:t>
      </w:r>
    </w:p>
    <w:p>
      <w:pPr>
        <w:pStyle w:val="Heading1"/>
      </w:pPr>
      <w:r>
        <w:t>1. Introduction and Legal Framework</w:t>
      </w:r>
    </w:p>
    <w:p>
      <w:pPr>
        <w:pStyle w:val="Heading2"/>
      </w:pPr>
      <w:r>
        <w:t>1.1 Policy context</w:t>
      </w:r>
    </w:p>
    <w:p>
      <w:r>
        <w:t>POEM responds to government priorities on sustainable management of natural resources and the environment, blue-economy integration, improved territorial planning, and strengthened monitoring and fiscalization. It implements Sea Law (Law 20/2019), POLMAR (Resolution 39/2017), the Regulation on Use of National Maritime Space (RJUEM, Decree 21/2017), and the Integrated Coastal Zone Management Strategy (EGIZC).</w:t>
        <w:br/>
        <w:br/>
        <w:t>Mozambique's maritime space covers approximately 572,000 km², including territorial waters, internal waters and the Exclusive Economic Zone (EEZ). Major uses include fisheries, aquaculture, maritime transport, ports, tourism, oil and gas, mining, scientific research and marine conservation.</w:t>
      </w:r>
    </w:p>
    <w:p>
      <w:pPr>
        <w:pStyle w:val="Heading2"/>
      </w:pPr>
      <w:r>
        <w:t>1.2 Threats identified</w:t>
      </w:r>
    </w:p>
    <w:p>
      <w:r>
        <w:t>POEM identifies threats to marine and coastal ecosystems including: overfishing and unregulated resource exploitation; inappropriate tourism practices; pollution and marine litter (lixo marinho); coastal erosion and mangrove destruction; extreme weather and climate change; and unplanned coastal urban and industrial development.</w:t>
        <w:br/>
        <w:br/>
        <w:t>Coastal water degradation from pollution and ocean acidification adversely affects ecosystems, biodiversity and small-scale fisheries.</w:t>
      </w:r>
    </w:p>
    <w:p>
      <w:pPr>
        <w:pStyle w:val="Heading2"/>
      </w:pPr>
      <w:r>
        <w:t>1.3 Related instruments</w:t>
      </w:r>
    </w:p>
    <w:p>
      <w:r>
        <w:t>POEM articulates with: POLMAR; EGIZC; Mangrove Management Strategy 2020–2024; National Environmental Management Programme (PNGA); National Biodiversity Strategy; Integrated Urban Solid Waste Management Strategy; Environmental Quality and Effluents Regulation; REPMAR (Fisheries Regulation, Decree 89/2020); Decree 45/2006 on marine pollution; and Decree 97/2020 on coastal zones and beaches.</w:t>
      </w:r>
    </w:p>
    <w:p>
      <w:pPr>
        <w:pStyle w:val="Heading1"/>
      </w:pPr>
      <w:r>
        <w:t>2. POEM Purpose and Objectives</w:t>
      </w:r>
    </w:p>
    <w:p>
      <w:pPr>
        <w:pStyle w:val="Heading2"/>
      </w:pPr>
      <w:r>
        <w:t>2.1 General purpose</w:t>
      </w:r>
    </w:p>
    <w:p>
      <w:r>
        <w:t>POEM covers the entire National Maritime Space and identifies:</w:t>
        <w:br/>
        <w:t>a) the spatial and temporal distribution of existing and potential uses and activities;</w:t>
        <w:br/>
        <w:t>b) natural and cultural values of strategic importance for environmental sustainability and intergenerational solidarity.</w:t>
        <w:br/>
        <w:br/>
        <w:t>Uses mapped include: aquaculture and fisheries; biotechnology; mineral resources; energy and renewables; scientific research; recreation, sport and tourism; underwater cultural heritage; and infrastructure and equipment.</w:t>
      </w:r>
    </w:p>
    <w:p>
      <w:pPr>
        <w:pStyle w:val="Heading2"/>
      </w:pPr>
      <w:r>
        <w:t>2.2 Strategic objectives (summary)</w:t>
      </w:r>
    </w:p>
    <w:p>
      <w:r>
        <w:t>POEM pursues five core objectives:</w:t>
        <w:br/>
        <w:t>1. Establish maritime spatial ordering respecting environmental carrying capacity;</w:t>
        <w:br/>
        <w:t>2. Promote sustainable, rational and integrated economic exploitation;</w:t>
        <w:br/>
        <w:t>3. Ensure preservation, protection and recovery of ecosystems and biodiversity;</w:t>
        <w:br/>
        <w:t>4. Guarantee legal security and transparency of maritime space use;</w:t>
        <w:br/>
        <w:t>5. Ensure quality of information on maritime space conditions.</w:t>
        <w:br/>
        <w:br/>
        <w:t>Additional tasks include: characterizing the coastal and maritime environment; identifying high environmental value zones; preventing use conflicts; conducting Strategic Environmental and Social Assessment (SESA/AASE); and defining indicators and a monitoring and evaluation plan.</w:t>
      </w:r>
    </w:p>
    <w:p>
      <w:pPr>
        <w:pStyle w:val="Heading1"/>
      </w:pPr>
      <w:r>
        <w:t>3. Guiding Principles</w:t>
      </w:r>
    </w:p>
    <w:p>
      <w:pPr>
        <w:pStyle w:val="Heading2"/>
      </w:pPr>
      <w:r>
        <w:t>3.1 Priority principles</w:t>
      </w:r>
    </w:p>
    <w:p>
      <w:r>
        <w:t>Sustainable development and balance — integrate social, economic and environmental objectives, balancing economic development with conservation of marine and coastal resources.</w:t>
        <w:br/>
        <w:br/>
        <w:t>Multisectoral coordination and integrated management — harmonize sectors whose common denominator is the sea.</w:t>
        <w:br/>
        <w:br/>
        <w:t>Community involvement and participation — active citizen and traditional authority participation in planning, decision-making, use and conservation.</w:t>
        <w:br/>
        <w:br/>
        <w:t>Economic capacity building — improve maritime economic activities over the long term.</w:t>
      </w:r>
    </w:p>
    <w:p>
      <w:pPr>
        <w:pStyle w:val="Heading2"/>
      </w:pPr>
      <w:r>
        <w:t>3.2 Supplementary principles</w:t>
      </w:r>
    </w:p>
    <w:p>
      <w:r>
        <w:t>Include: ecosystem approach; precaution; adaptive management; environmental education; co-responsibility; rational use of environmental components; social equity; polluter-pays and user-pays in coastal management options; and coordinated scientific and interdisciplinary approach.</w:t>
      </w:r>
    </w:p>
    <w:p>
      <w:pPr>
        <w:pStyle w:val="Heading1"/>
      </w:pPr>
      <w:r>
        <w:t>4. International Commitments — SDG 14 and Conventions</w:t>
      </w:r>
    </w:p>
    <w:p>
      <w:pPr>
        <w:pStyle w:val="Heading2"/>
      </w:pPr>
      <w:r>
        <w:t>4.1 SDG 14 targets adopted in POEM</w:t>
      </w:r>
    </w:p>
    <w:p>
      <w:r>
        <w:t>14.1 — By 2025, prevent and significantly reduce all types of marine pollution, in particular from land-based activities, including nutrient pollution and marine debris.</w:t>
        <w:br/>
        <w:br/>
        <w:t>14.2 — Sustainably manage and protect marine and coastal ecosystems, strengthening resilience and restoring ocean health.</w:t>
        <w:br/>
        <w:br/>
        <w:t>14.4 — By 2020, effectively regulate harvesting; end overfishing and IUU fishing and destructive practices; implement science-based management plans.</w:t>
        <w:br/>
        <w:br/>
        <w:t>14.5 — Conserve at least 10% of coastal and marine areas.</w:t>
        <w:br/>
        <w:br/>
        <w:t>14.a — Increase scientific knowledge and marine technology transfer.</w:t>
      </w:r>
    </w:p>
    <w:p>
      <w:pPr>
        <w:pStyle w:val="Heading2"/>
      </w:pPr>
      <w:r>
        <w:t>4.2 Conventions referenced</w:t>
      </w:r>
    </w:p>
    <w:p>
      <w:r>
        <w:t>UNCLOS; MARPOL (International Convention for the Prevention of Pollution from Ships); OPRC 90 (oil pollution preparedness and response); UN Convention on Biological Diversity; Nairobi Convention (land-based sources of marine pollution).</w:t>
        <w:br/>
        <w:br/>
        <w:t>POEM commits to national and regional systems for pollution incident preparedness and response, international cooperation, and improved prevention and combat techniques.</w:t>
      </w:r>
    </w:p>
    <w:p>
      <w:pPr>
        <w:pStyle w:val="Heading1"/>
      </w:pPr>
      <w:r>
        <w:t>5. Maritime Spatial Zoning</w:t>
      </w:r>
    </w:p>
    <w:p>
      <w:pPr>
        <w:pStyle w:val="Heading2"/>
      </w:pPr>
      <w:r>
        <w:t>5.1 Zoning framework</w:t>
      </w:r>
    </w:p>
    <w:p>
      <w:r>
        <w:t>POEM classifies maritime space into categories reflecting conservation levels, use intensity and sectoral activities. Zoning identifies: navigation channels and traffic separation schemes; pilotage areas; dredging zones; aids to navigation; anchorage and mooring areas; ports and marinas; coastal defence works; dredge disposal zones; submarine cables and pipelines; munitions and hazardous material deposition areas; and wreck sites.</w:t>
        <w:br/>
        <w:br/>
        <w:t>Spatial planning must coordinate maritime and terrestrial coastal planning, as many maritime activities require land-based infrastructure.</w:t>
      </w:r>
    </w:p>
    <w:p>
      <w:pPr>
        <w:pStyle w:val="Heading2"/>
      </w:pPr>
      <w:r>
        <w:t>5.2 Conservation and sensitive ecosystems</w:t>
      </w:r>
    </w:p>
    <w:p>
      <w:r>
        <w:t>Marine Protected Areas and sensitive ecosystems (mangroves, dunes, coral reefs, seagrass beds) receive protection classifications. Activities causing pollution, habitat alteration or waste generation require stronger controls. Effective waste and effluent management must reduce terrestrial and marine impacts from industry, mining and aquaculture.</w:t>
      </w:r>
    </w:p>
    <w:p>
      <w:pPr>
        <w:pStyle w:val="Heading2"/>
      </w:pPr>
      <w:r>
        <w:t>5.3 Sector-specific zoning conditions</w:t>
      </w:r>
    </w:p>
    <w:p>
      <w:r>
        <w:t>Fisheries: IUU fishing prevention prioritized; fiscalization of permitted gear, mesh sizes and fishing duration; awareness against abandonment of fishing gear; adequate onboard waste disposal per REPMAR.</w:t>
        <w:br/>
        <w:br/>
        <w:t>Ports: Monitor indicators for port-area waste/effluents and ship fuel/oil spills.</w:t>
        <w:br/>
        <w:br/>
        <w:t>Wrecks and cultural heritage: No ship discharges or washing near identified wrecks as pollution/residues endanger heritage; no munitions deposition.</w:t>
        <w:br/>
        <w:br/>
        <w:t>Tourism/cruise anchorage: Control environmental impacts including generator use and discharge of pollutants and litter near Key Biodiversity Areas and critical habitats.</w:t>
      </w:r>
    </w:p>
    <w:p>
      <w:pPr>
        <w:pStyle w:val="Heading1"/>
      </w:pPr>
      <w:r>
        <w:t>6. Strategic Axes and Action Plan — Plastic-Relevant Elements</w:t>
      </w:r>
    </w:p>
    <w:p>
      <w:pPr>
        <w:pStyle w:val="Heading2"/>
      </w:pPr>
      <w:r>
        <w:t>6.1 EE II — Marine and coastal environment</w:t>
      </w:r>
    </w:p>
    <w:p>
      <w:r>
        <w:t>OE II.2 Environmental quality: Increase economic valorization of solid waste recycling and reuse; promote environmental qualification and circular economy practices with technological, scientific and NGO support.</w:t>
        <w:br/>
        <w:br/>
        <w:t>OE II.2a Actions (2023–2027):</w:t>
        <w:br/>
        <w:t>— Establish incentive policy for local/community involvement in reuse and recycling;</w:t>
        <w:br/>
        <w:t>— Define and publish legal and regulatory instruments (2024–2025);</w:t>
        <w:br/>
        <w:t>— Prepare National Action Plan for community recycling (2025–2026);</w:t>
        <w:br/>
        <w:t>— Support pilot recycling/reuse projects (2022–2026);</w:t>
        <w:br/>
        <w:t>— Target: 50% of coastal communities involved by 2026–2027; 80% of coastal municipalities.</w:t>
        <w:br/>
        <w:br/>
        <w:t>OE II.2 — Waste services: Develop waste management network and services for coastal territories (sanitation, industry, ports, beaches) and at sea (navigation, platforms) by 2022–2026 (MOPHRH, MTA, MIMAIP).</w:t>
      </w:r>
    </w:p>
    <w:p>
      <w:pPr>
        <w:pStyle w:val="Heading2"/>
      </w:pPr>
      <w:r>
        <w:t>6.2 EE III — Socioeconomic development</w:t>
      </w:r>
    </w:p>
    <w:p>
      <w:r>
        <w:t>OE III.2 Fisheries: Minimize over-exploitation and illegal/inappropriate practices; increase marine conservation areas; strengthen fiscalization; combat IUU fishing (Pesca INN); publish lists of IUU vessels; expand fisheries fiscalization coverage.</w:t>
        <w:br/>
        <w:br/>
        <w:t>OE III.3 Aquaculture: Offshore mariculture development with environmental qualification to preserve investments; adequate waste deposition from mariculture infrastructure.</w:t>
      </w:r>
    </w:p>
    <w:p>
      <w:pPr>
        <w:pStyle w:val="Heading2"/>
      </w:pPr>
      <w:r>
        <w:t>6.3 EE V — Sovereignty and international cooperation</w:t>
      </w:r>
    </w:p>
    <w:p>
      <w:r>
        <w:t>OE V.3a International partnerships: Operationalize pollution combat and sustainable waste management; promote circular green-economy experience-sharing with neighbouring countries; establish 10 cooperation protocols (2022–2040); organize experience-sharing meetings and field visits.</w:t>
        <w:br/>
        <w:br/>
        <w:t>OE V.3b: Strengthen Mozambique's active participation in international commissions promoting sustainable resource use and marine protected areas.</w:t>
      </w:r>
    </w:p>
    <w:p>
      <w:pPr>
        <w:pStyle w:val="Heading1"/>
      </w:pPr>
      <w:r>
        <w:t>7. Monitoring and Implementation</w:t>
      </w:r>
    </w:p>
    <w:p>
      <w:r>
        <w:t>POEM includes indicators and verification means for each strategic objective, with responsible entities (MIMAIP, MTA, MOPHRH, MINEC, municipalities, etc.) and timelines from 2022 to 2040.</w:t>
        <w:br/>
        <w:br/>
        <w:t>The Ministry responsible for the maritime sector ensures POEM implementation. Monitoring covers pollution parameters from research and hydrocarbon installations, environmental quality mapping, and progress on waste management service development.</w:t>
        <w:br/>
        <w:br/>
        <w:t>POEM does not replace applicable laws; it provides spatial planning guidance that sectoral regulations must operationalize.</w:t>
      </w:r>
    </w:p>
    <w:p>
      <w:pPr>
        <w:pStyle w:val="Heading1"/>
      </w:pPr>
      <w:r>
        <w:t>8. Note on Plastics</w:t>
      </w:r>
    </w:p>
    <w:p>
      <w:r>
        <w:t>POEM does not mention plastics or plastic bags explicitly. The only direct reference to marine litter is 'lixo marinho' in the threats analysis. Plastic-relevant elements are:</w:t>
        <w:br/>
        <w:br/>
        <w:t>— SDG 14.1 target on marine debris (detritos marinhos);</w:t>
        <w:br/>
        <w:t>— Solid waste recycling, reuse and circular economy action plan (OE II.2a);</w:t>
        <w:br/>
        <w:t>— Coastal and maritime waste management services including ports and beaches;</w:t>
        <w:br/>
        <w:t>— Fishing gear non-abandonment and vessel waste disposal per REPMAR;</w:t>
        <w:br/>
        <w:t>— Tourism/cruise litter discharge controls near sensitive areas.</w:t>
        <w:br/>
        <w:br/>
        <w:t>Binding operational rules remain in Decree 45/2006, Decree 97/2020, REPMAR, Sea Law and Decree 16/2015 (plastic bags).</w:t>
      </w:r>
    </w:p>
    <w:p>
      <w:r>
        <w:br w:type="page"/>
      </w:r>
    </w:p>
    <w:p>
      <w:pPr>
        <w:pStyle w:val="Heading1"/>
      </w:pPr>
      <w:r>
        <w:t>4P Index Coding Summary</w:t>
      </w:r>
    </w:p>
    <w:p>
      <w:r>
        <w:t>Policy: Plano Nacional de Ordenamento do Espaço Marítimo – POEM (Resolução n.º 63/2024)</w:t>
        <w:br/>
        <w:t>Instruments coded: 6 (consolidated — sector zoning chapters not overcoded)</w:t>
        <w:br/>
        <w:t>See: 4P_Index_Mozambique_Resolution_63_2024_POEM.xlsx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