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Norway: National Policies Addressing Plastic Pollution</w:t>
      </w:r>
    </w:p>
    <w:p>
      <w:pPr>
        <w:jc w:val="center"/>
      </w:pPr>
      <w:r>
        <w:t>Comprehensive list of national-level policies (laws, regulations, strategies, plans) tackling plastic pollution directly and indirectly across the plastic lifecycle. International treaties excluded. Links are official government sources only (lovdata.no, regjeringen.no). Sorted chronologically by original adoption year.</w:t>
      </w:r>
    </w:p>
    <w:p>
      <w:r>
        <w:t>Compiled: 24 June 2026 | Total policies: 21</w:t>
      </w:r>
    </w:p>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2304"/>
          </w:tcPr>
          <w:p>
            <w:r>
              <w:rPr>
                <w:b/>
                <w:sz w:val="16"/>
              </w:rPr>
              <w:t>Policy Title</w:t>
            </w:r>
          </w:p>
        </w:tc>
        <w:tc>
          <w:tcPr>
            <w:tcW w:type="dxa" w:w="1296"/>
          </w:tcPr>
          <w:p>
            <w:r>
              <w:rPr>
                <w:b/>
                <w:sz w:val="16"/>
              </w:rPr>
              <w:t>Policy Type</w:t>
            </w:r>
          </w:p>
        </w:tc>
        <w:tc>
          <w:tcPr>
            <w:tcW w:type="dxa" w:w="792"/>
          </w:tcPr>
          <w:p>
            <w:r>
              <w:rPr>
                <w:b/>
                <w:sz w:val="16"/>
              </w:rPr>
              <w:t>Last Amendment Year</w:t>
            </w:r>
          </w:p>
        </w:tc>
        <w:tc>
          <w:tcPr>
            <w:tcW w:type="dxa" w:w="2880"/>
          </w:tcPr>
          <w:p>
            <w:r>
              <w:rPr>
                <w:b/>
                <w:sz w:val="16"/>
              </w:rPr>
              <w:t>Short Description</w:t>
            </w:r>
          </w:p>
        </w:tc>
        <w:tc>
          <w:tcPr>
            <w:tcW w:type="dxa" w:w="1584"/>
          </w:tcPr>
          <w:p>
            <w:r>
              <w:rPr>
                <w:b/>
                <w:sz w:val="16"/>
              </w:rPr>
              <w:t>Sectors</w:t>
            </w:r>
          </w:p>
        </w:tc>
        <w:tc>
          <w:tcPr>
            <w:tcW w:type="dxa" w:w="1440"/>
          </w:tcPr>
          <w:p>
            <w:r>
              <w:rPr>
                <w:b/>
                <w:sz w:val="16"/>
              </w:rPr>
              <w:t>Life-Cycle Stage</w:t>
            </w:r>
          </w:p>
        </w:tc>
        <w:tc>
          <w:tcPr>
            <w:tcW w:type="dxa" w:w="1872"/>
          </w:tcPr>
          <w:p>
            <w:r>
              <w:rPr>
                <w:b/>
                <w:sz w:val="16"/>
              </w:rPr>
              <w:t>Link</w:t>
            </w:r>
          </w:p>
        </w:tc>
      </w:tr>
      <w:tr>
        <w:tc>
          <w:tcPr>
            <w:tcW w:type="dxa" w:w="1234"/>
          </w:tcPr>
          <w:p>
            <w:r>
              <w:rPr>
                <w:sz w:val="14"/>
              </w:rPr>
              <w:t>Lov om kontroll med produkter og forbrukertjenester (Produktkontrolloven)</w:t>
            </w:r>
          </w:p>
        </w:tc>
        <w:tc>
          <w:tcPr>
            <w:tcW w:type="dxa" w:w="1234"/>
          </w:tcPr>
          <w:p>
            <w:r>
              <w:rPr>
                <w:sz w:val="14"/>
              </w:rPr>
              <w:t>Act (Law)</w:t>
            </w:r>
          </w:p>
        </w:tc>
        <w:tc>
          <w:tcPr>
            <w:tcW w:type="dxa" w:w="1234"/>
          </w:tcPr>
          <w:p>
            <w:r>
              <w:rPr>
                <w:sz w:val="14"/>
              </w:rPr>
              <w:t>2024</w:t>
            </w:r>
          </w:p>
        </w:tc>
        <w:tc>
          <w:tcPr>
            <w:tcW w:type="dxa" w:w="1234"/>
          </w:tcPr>
          <w:p>
            <w:r>
              <w:rPr>
                <w:sz w:val="14"/>
              </w:rPr>
              <w:t>Framework law authorising national product controls, including restrictions on plastic products placed on the Norwegian market and powers to implement EEA product rules.</w:t>
            </w:r>
          </w:p>
        </w:tc>
        <w:tc>
          <w:tcPr>
            <w:tcW w:type="dxa" w:w="1234"/>
          </w:tcPr>
          <w:p>
            <w:r>
              <w:rPr>
                <w:sz w:val="14"/>
              </w:rPr>
              <w:t>All sectors; product manufacturing and trade</w:t>
            </w:r>
          </w:p>
        </w:tc>
        <w:tc>
          <w:tcPr>
            <w:tcW w:type="dxa" w:w="1234"/>
          </w:tcPr>
          <w:p>
            <w:r>
              <w:rPr>
                <w:sz w:val="14"/>
              </w:rPr>
              <w:t>Production; Use/Consumption</w:t>
            </w:r>
          </w:p>
        </w:tc>
        <w:tc>
          <w:tcPr>
            <w:tcW w:type="dxa" w:w="1234"/>
          </w:tcPr>
          <w:p>
            <w:r>
              <w:rPr>
                <w:sz w:val="14"/>
              </w:rPr>
            </w:r>
            <w:hyperlink r:id="rId9">
              <w:r>
                <w:rPr>
                  <w:color w:val="0563C1"/>
                  <w:u w:val="single"/>
                </w:rPr>
                <w:t>lovdata.no – Produktkontrolloven</w:t>
              </w:r>
            </w:hyperlink>
          </w:p>
        </w:tc>
      </w:tr>
      <w:tr>
        <w:tc>
          <w:tcPr>
            <w:tcW w:type="dxa" w:w="1234"/>
          </w:tcPr>
          <w:p>
            <w:r>
              <w:rPr>
                <w:sz w:val="14"/>
              </w:rPr>
              <w:t>Lov om vern mot forurensninger og om avfall (Forurensningsloven)</w:t>
            </w:r>
          </w:p>
        </w:tc>
        <w:tc>
          <w:tcPr>
            <w:tcW w:type="dxa" w:w="1234"/>
          </w:tcPr>
          <w:p>
            <w:r>
              <w:rPr>
                <w:sz w:val="14"/>
              </w:rPr>
              <w:t>Act (Law)</w:t>
            </w:r>
          </w:p>
        </w:tc>
        <w:tc>
          <w:tcPr>
            <w:tcW w:type="dxa" w:w="1234"/>
          </w:tcPr>
          <w:p>
            <w:r>
              <w:rPr>
                <w:sz w:val="14"/>
              </w:rPr>
              <w:t>2024</w:t>
            </w:r>
          </w:p>
        </w:tc>
        <w:tc>
          <w:tcPr>
            <w:tcW w:type="dxa" w:w="1234"/>
          </w:tcPr>
          <w:p>
            <w:r>
              <w:rPr>
                <w:sz w:val="14"/>
              </w:rPr>
              <w:t>Principal environmental and waste law: prohibits littering, establishes waste hierarchy, municipal waste duties, producer responsibility powers, and legal basis for waste and pollution regulations affecting plastics.</w:t>
            </w:r>
          </w:p>
        </w:tc>
        <w:tc>
          <w:tcPr>
            <w:tcW w:type="dxa" w:w="1234"/>
          </w:tcPr>
          <w:p>
            <w:r>
              <w:rPr>
                <w:sz w:val="14"/>
              </w:rPr>
              <w:t>All sectors; municipalities; waste management; industry</w:t>
            </w:r>
          </w:p>
        </w:tc>
        <w:tc>
          <w:tcPr>
            <w:tcW w:type="dxa" w:w="1234"/>
          </w:tcPr>
          <w:p>
            <w:r>
              <w:rPr>
                <w:sz w:val="14"/>
              </w:rPr>
              <w:t>End-of-life; Litter/Pollution; Production (indirect)</w:t>
            </w:r>
          </w:p>
        </w:tc>
        <w:tc>
          <w:tcPr>
            <w:tcW w:type="dxa" w:w="1234"/>
          </w:tcPr>
          <w:p>
            <w:r>
              <w:rPr>
                <w:sz w:val="14"/>
              </w:rPr>
            </w:r>
            <w:hyperlink r:id="rId10">
              <w:r>
                <w:rPr>
                  <w:color w:val="0563C1"/>
                  <w:u w:val="single"/>
                </w:rPr>
                <w:t>lovdata.no – Forurensningsloven</w:t>
              </w:r>
            </w:hyperlink>
          </w:p>
        </w:tc>
      </w:tr>
      <w:tr>
        <w:tc>
          <w:tcPr>
            <w:tcW w:type="dxa" w:w="1234"/>
          </w:tcPr>
          <w:p>
            <w:r>
              <w:rPr>
                <w:sz w:val="14"/>
              </w:rPr>
              <w:t>Forskrift om særavgifter – Kap. 3-5: Avgifter på drikkevareemballasje (miljø- og grunnavgift)</w:t>
            </w:r>
          </w:p>
        </w:tc>
        <w:tc>
          <w:tcPr>
            <w:tcW w:type="dxa" w:w="1234"/>
          </w:tcPr>
          <w:p>
            <w:r>
              <w:rPr>
                <w:sz w:val="14"/>
              </w:rPr>
              <w:t>Regulation (Tax)</w:t>
            </w:r>
          </w:p>
        </w:tc>
        <w:tc>
          <w:tcPr>
            <w:tcW w:type="dxa" w:w="1234"/>
          </w:tcPr>
          <w:p>
            <w:r>
              <w:rPr>
                <w:sz w:val="14"/>
              </w:rPr>
              <w:t>2025</w:t>
            </w:r>
          </w:p>
        </w:tc>
        <w:tc>
          <w:tcPr>
            <w:tcW w:type="dxa" w:w="1234"/>
          </w:tcPr>
          <w:p>
            <w:r>
              <w:rPr>
                <w:sz w:val="14"/>
              </w:rPr>
              <w:t>Excise framework for beverage packaging including plastic bottles and cans; environmental tax incentivises return systems and recycling. Rates set annually by Storting.</w:t>
            </w:r>
          </w:p>
        </w:tc>
        <w:tc>
          <w:tcPr>
            <w:tcW w:type="dxa" w:w="1234"/>
          </w:tcPr>
          <w:p>
            <w:r>
              <w:rPr>
                <w:sz w:val="14"/>
              </w:rPr>
              <w:t>Beverage; packaging; retail</w:t>
            </w:r>
          </w:p>
        </w:tc>
        <w:tc>
          <w:tcPr>
            <w:tcW w:type="dxa" w:w="1234"/>
          </w:tcPr>
          <w:p>
            <w:r>
              <w:rPr>
                <w:sz w:val="14"/>
              </w:rPr>
              <w:t>Use/Consumption; End-of-life</w:t>
            </w:r>
          </w:p>
        </w:tc>
        <w:tc>
          <w:tcPr>
            <w:tcW w:type="dxa" w:w="1234"/>
          </w:tcPr>
          <w:p>
            <w:r>
              <w:rPr>
                <w:sz w:val="14"/>
              </w:rPr>
            </w:r>
            <w:hyperlink r:id="rId11">
              <w:r>
                <w:rPr>
                  <w:color w:val="0563C1"/>
                  <w:u w:val="single"/>
                </w:rPr>
                <w:t>lovdata.no – Særavgiftsforskriften kap. 3-5</w:t>
              </w:r>
            </w:hyperlink>
          </w:p>
        </w:tc>
      </w:tr>
      <w:tr>
        <w:tc>
          <w:tcPr>
            <w:tcW w:type="dxa" w:w="1234"/>
          </w:tcPr>
          <w:p>
            <w:r>
              <w:rPr>
                <w:sz w:val="14"/>
              </w:rPr>
              <w:t>Stortingsvedtak om avgifter på drikkevareemballasje for 2026</w:t>
            </w:r>
          </w:p>
        </w:tc>
        <w:tc>
          <w:tcPr>
            <w:tcW w:type="dxa" w:w="1234"/>
          </w:tcPr>
          <w:p>
            <w:r>
              <w:rPr>
                <w:sz w:val="14"/>
              </w:rPr>
              <w:t>Parliamentary resolution (Annual tax rates)</w:t>
            </w:r>
          </w:p>
        </w:tc>
        <w:tc>
          <w:tcPr>
            <w:tcW w:type="dxa" w:w="1234"/>
          </w:tcPr>
          <w:p>
            <w:r>
              <w:rPr>
                <w:sz w:val="14"/>
              </w:rPr>
              <w:t>2025</w:t>
            </w:r>
          </w:p>
        </w:tc>
        <w:tc>
          <w:tcPr>
            <w:tcW w:type="dxa" w:w="1234"/>
          </w:tcPr>
          <w:p>
            <w:r>
              <w:rPr>
                <w:sz w:val="14"/>
              </w:rPr>
              <w:t>Sets annual environmental and basic excise rates on beverage packaging; 2026 rate for plastic packaging is NOK 4.27 per unit, with exemptions for packaging in approved deposit-return systems.</w:t>
            </w:r>
          </w:p>
        </w:tc>
        <w:tc>
          <w:tcPr>
            <w:tcW w:type="dxa" w:w="1234"/>
          </w:tcPr>
          <w:p>
            <w:r>
              <w:rPr>
                <w:sz w:val="14"/>
              </w:rPr>
              <w:t>Beverage; plastic packaging</w:t>
            </w:r>
          </w:p>
        </w:tc>
        <w:tc>
          <w:tcPr>
            <w:tcW w:type="dxa" w:w="1234"/>
          </w:tcPr>
          <w:p>
            <w:r>
              <w:rPr>
                <w:sz w:val="14"/>
              </w:rPr>
              <w:t>Use/Consumption; End-of-life</w:t>
            </w:r>
          </w:p>
        </w:tc>
        <w:tc>
          <w:tcPr>
            <w:tcW w:type="dxa" w:w="1234"/>
          </w:tcPr>
          <w:p>
            <w:r>
              <w:rPr>
                <w:sz w:val="14"/>
              </w:rPr>
            </w:r>
            <w:hyperlink r:id="rId12">
              <w:r>
                <w:rPr>
                  <w:color w:val="0563C1"/>
                  <w:u w:val="single"/>
                </w:rPr>
                <w:t>lovdata.no – Avgiftsvedtak 2026</w:t>
              </w:r>
            </w:hyperlink>
          </w:p>
        </w:tc>
      </w:tr>
      <w:tr>
        <w:tc>
          <w:tcPr>
            <w:tcW w:type="dxa" w:w="1234"/>
          </w:tcPr>
          <w:p>
            <w:r>
              <w:rPr>
                <w:sz w:val="14"/>
              </w:rPr>
              <w:t>Forskrift om begrensning av forurensning (Forurensningsforskriften) – Kap. 20: Levering og mottak av avfall fra skip</w:t>
            </w:r>
          </w:p>
        </w:tc>
        <w:tc>
          <w:tcPr>
            <w:tcW w:type="dxa" w:w="1234"/>
          </w:tcPr>
          <w:p>
            <w:r>
              <w:rPr>
                <w:sz w:val="14"/>
              </w:rPr>
              <w:t>Regulation</w:t>
            </w:r>
          </w:p>
        </w:tc>
        <w:tc>
          <w:tcPr>
            <w:tcW w:type="dxa" w:w="1234"/>
          </w:tcPr>
          <w:p>
            <w:r>
              <w:rPr>
                <w:sz w:val="14"/>
              </w:rPr>
              <w:t>2025</w:t>
            </w:r>
          </w:p>
        </w:tc>
        <w:tc>
          <w:tcPr>
            <w:tcW w:type="dxa" w:w="1234"/>
          </w:tcPr>
          <w:p>
            <w:r>
              <w:rPr>
                <w:sz w:val="14"/>
              </w:rPr>
              <w:t>Requires port waste reception facilities and delivery of ship-generated waste (including plastics under MARPOL Annex V); supports sorting and recycling of ship waste and reduces marine plastic litter.</w:t>
            </w:r>
          </w:p>
        </w:tc>
        <w:tc>
          <w:tcPr>
            <w:tcW w:type="dxa" w:w="1234"/>
          </w:tcPr>
          <w:p>
            <w:r>
              <w:rPr>
                <w:sz w:val="14"/>
              </w:rPr>
              <w:t>Maritime; ports; fisheries; waste management</w:t>
            </w:r>
          </w:p>
        </w:tc>
        <w:tc>
          <w:tcPr>
            <w:tcW w:type="dxa" w:w="1234"/>
          </w:tcPr>
          <w:p>
            <w:r>
              <w:rPr>
                <w:sz w:val="14"/>
              </w:rPr>
              <w:t>End-of-life; Litter/Pollution</w:t>
            </w:r>
          </w:p>
        </w:tc>
        <w:tc>
          <w:tcPr>
            <w:tcW w:type="dxa" w:w="1234"/>
          </w:tcPr>
          <w:p>
            <w:r>
              <w:rPr>
                <w:sz w:val="14"/>
              </w:rPr>
            </w:r>
            <w:hyperlink r:id="rId13">
              <w:r>
                <w:rPr>
                  <w:color w:val="0563C1"/>
                  <w:u w:val="single"/>
                </w:rPr>
                <w:t>lovdata.no – Forurensningsforskriften kap. 20</w:t>
              </w:r>
            </w:hyperlink>
          </w:p>
        </w:tc>
      </w:tr>
      <w:tr>
        <w:tc>
          <w:tcPr>
            <w:tcW w:type="dxa" w:w="1234"/>
          </w:tcPr>
          <w:p>
            <w:r>
              <w:rPr>
                <w:sz w:val="14"/>
              </w:rPr>
              <w:t>Forskrift om gjenvinning og behandling av avfall (Avfallsforskriften) – Kap. 5: Innsamling og gjenvinning av kasserte dekk</w:t>
            </w:r>
          </w:p>
        </w:tc>
        <w:tc>
          <w:tcPr>
            <w:tcW w:type="dxa" w:w="1234"/>
          </w:tcPr>
          <w:p>
            <w:r>
              <w:rPr>
                <w:sz w:val="14"/>
              </w:rPr>
              <w:t>Regulation</w:t>
            </w:r>
          </w:p>
        </w:tc>
        <w:tc>
          <w:tcPr>
            <w:tcW w:type="dxa" w:w="1234"/>
          </w:tcPr>
          <w:p>
            <w:r>
              <w:rPr>
                <w:sz w:val="14"/>
              </w:rPr>
              <w:t>2024</w:t>
            </w:r>
          </w:p>
        </w:tc>
        <w:tc>
          <w:tcPr>
            <w:tcW w:type="dxa" w:w="1234"/>
          </w:tcPr>
          <w:p>
            <w:r>
              <w:rPr>
                <w:sz w:val="14"/>
              </w:rPr>
              <w:t>Producer responsibility for end-of-life tyres (largely synthetic rubber/plastic polymers); requires collection and recycling, reducing tyre waste that contributes to microplastic pollution.</w:t>
            </w:r>
          </w:p>
        </w:tc>
        <w:tc>
          <w:tcPr>
            <w:tcW w:type="dxa" w:w="1234"/>
          </w:tcPr>
          <w:p>
            <w:r>
              <w:rPr>
                <w:sz w:val="14"/>
              </w:rPr>
              <w:t>Automotive; transport; waste management</w:t>
            </w:r>
          </w:p>
        </w:tc>
        <w:tc>
          <w:tcPr>
            <w:tcW w:type="dxa" w:w="1234"/>
          </w:tcPr>
          <w:p>
            <w:r>
              <w:rPr>
                <w:sz w:val="14"/>
              </w:rPr>
              <w:t>End-of-life; Litter/Pollution</w:t>
            </w:r>
          </w:p>
        </w:tc>
        <w:tc>
          <w:tcPr>
            <w:tcW w:type="dxa" w:w="1234"/>
          </w:tcPr>
          <w:p>
            <w:r>
              <w:rPr>
                <w:sz w:val="14"/>
              </w:rPr>
            </w:r>
            <w:hyperlink r:id="rId14">
              <w:r>
                <w:rPr>
                  <w:color w:val="0563C1"/>
                  <w:u w:val="single"/>
                </w:rPr>
                <w:t>lovdata.no – Avfallsforskriften kap. 5</w:t>
              </w:r>
            </w:hyperlink>
          </w:p>
        </w:tc>
      </w:tr>
      <w:tr>
        <w:tc>
          <w:tcPr>
            <w:tcW w:type="dxa" w:w="1234"/>
          </w:tcPr>
          <w:p>
            <w:r>
              <w:rPr>
                <w:sz w:val="14"/>
              </w:rPr>
              <w:t>Forskrift om gjenvinning og behandling av avfall (Avfallsforskriften) – Kap. 6: Retursystemer for emballasje til drikkevarer</w:t>
            </w:r>
          </w:p>
        </w:tc>
        <w:tc>
          <w:tcPr>
            <w:tcW w:type="dxa" w:w="1234"/>
          </w:tcPr>
          <w:p>
            <w:r>
              <w:rPr>
                <w:sz w:val="14"/>
              </w:rPr>
              <w:t>Regulation</w:t>
            </w:r>
          </w:p>
        </w:tc>
        <w:tc>
          <w:tcPr>
            <w:tcW w:type="dxa" w:w="1234"/>
          </w:tcPr>
          <w:p>
            <w:r>
              <w:rPr>
                <w:sz w:val="14"/>
              </w:rPr>
              <w:t>2025</w:t>
            </w:r>
          </w:p>
        </w:tc>
        <w:tc>
          <w:tcPr>
            <w:tcW w:type="dxa" w:w="1234"/>
          </w:tcPr>
          <w:p>
            <w:r>
              <w:rPr>
                <w:sz w:val="14"/>
              </w:rPr>
              <w:t>Mandatory deposit-return system (pant) for beverage containers including plastic bottles; requires approved return systems, minimum return rates, labelling, and retailer take-back obligations.</w:t>
            </w:r>
          </w:p>
        </w:tc>
        <w:tc>
          <w:tcPr>
            <w:tcW w:type="dxa" w:w="1234"/>
          </w:tcPr>
          <w:p>
            <w:r>
              <w:rPr>
                <w:sz w:val="14"/>
              </w:rPr>
              <w:t>Beverage; retail; waste management</w:t>
            </w:r>
          </w:p>
        </w:tc>
        <w:tc>
          <w:tcPr>
            <w:tcW w:type="dxa" w:w="1234"/>
          </w:tcPr>
          <w:p>
            <w:r>
              <w:rPr>
                <w:sz w:val="14"/>
              </w:rPr>
              <w:t>Use/Consumption; End-of-life; Litter/Pollution</w:t>
            </w:r>
          </w:p>
        </w:tc>
        <w:tc>
          <w:tcPr>
            <w:tcW w:type="dxa" w:w="1234"/>
          </w:tcPr>
          <w:p>
            <w:r>
              <w:rPr>
                <w:sz w:val="14"/>
              </w:rPr>
            </w:r>
            <w:hyperlink r:id="rId15">
              <w:r>
                <w:rPr>
                  <w:color w:val="0563C1"/>
                  <w:u w:val="single"/>
                </w:rPr>
                <w:t>lovdata.no – Avfallsforskriften kap. 6</w:t>
              </w:r>
            </w:hyperlink>
          </w:p>
        </w:tc>
      </w:tr>
      <w:tr>
        <w:tc>
          <w:tcPr>
            <w:tcW w:type="dxa" w:w="1234"/>
          </w:tcPr>
          <w:p>
            <w:r>
              <w:rPr>
                <w:sz w:val="14"/>
              </w:rPr>
              <w:t>Forskrift om gjenvinning og behandling av avfall (Avfallsforskriften) – Kap. 7: Emballasje og emballasjeavfall</w:t>
            </w:r>
          </w:p>
        </w:tc>
        <w:tc>
          <w:tcPr>
            <w:tcW w:type="dxa" w:w="1234"/>
          </w:tcPr>
          <w:p>
            <w:r>
              <w:rPr>
                <w:sz w:val="14"/>
              </w:rPr>
              <w:t>Regulation</w:t>
            </w:r>
          </w:p>
        </w:tc>
        <w:tc>
          <w:tcPr>
            <w:tcW w:type="dxa" w:w="1234"/>
          </w:tcPr>
          <w:p>
            <w:r>
              <w:rPr>
                <w:sz w:val="14"/>
              </w:rPr>
              <w:t>2025</w:t>
            </w:r>
          </w:p>
        </w:tc>
        <w:tc>
          <w:tcPr>
            <w:tcW w:type="dxa" w:w="1234"/>
          </w:tcPr>
          <w:p>
            <w:r>
              <w:rPr>
                <w:sz w:val="14"/>
              </w:rPr>
              <w:t>Extended producer responsibility for packaging including plastic; sets material recycling targets (47% plastic from 2025, 52% by 2030), reporting on plastic carrier bags, and essential packaging design requirements.</w:t>
            </w:r>
          </w:p>
        </w:tc>
        <w:tc>
          <w:tcPr>
            <w:tcW w:type="dxa" w:w="1234"/>
          </w:tcPr>
          <w:p>
            <w:r>
              <w:rPr>
                <w:sz w:val="14"/>
              </w:rPr>
              <w:t>Packaging; retail; manufacturing; waste management</w:t>
            </w:r>
          </w:p>
        </w:tc>
        <w:tc>
          <w:tcPr>
            <w:tcW w:type="dxa" w:w="1234"/>
          </w:tcPr>
          <w:p>
            <w:r>
              <w:rPr>
                <w:sz w:val="14"/>
              </w:rPr>
              <w:t>Production; Design; End-of-life; Use/Consumption</w:t>
            </w:r>
          </w:p>
        </w:tc>
        <w:tc>
          <w:tcPr>
            <w:tcW w:type="dxa" w:w="1234"/>
          </w:tcPr>
          <w:p>
            <w:r>
              <w:rPr>
                <w:sz w:val="14"/>
              </w:rPr>
            </w:r>
            <w:hyperlink r:id="rId16">
              <w:r>
                <w:rPr>
                  <w:color w:val="0563C1"/>
                  <w:u w:val="single"/>
                </w:rPr>
                <w:t>lovdata.no – Avfallsforskriften kap. 7</w:t>
              </w:r>
            </w:hyperlink>
          </w:p>
        </w:tc>
      </w:tr>
      <w:tr>
        <w:tc>
          <w:tcPr>
            <w:tcW w:type="dxa" w:w="1234"/>
          </w:tcPr>
          <w:p>
            <w:r>
              <w:rPr>
                <w:sz w:val="14"/>
              </w:rPr>
              <w:t>Forskrift om registrering, vurdering, godkjenning og begrensning av kjemikalier (REACH-forskriften)</w:t>
            </w:r>
          </w:p>
        </w:tc>
        <w:tc>
          <w:tcPr>
            <w:tcW w:type="dxa" w:w="1234"/>
          </w:tcPr>
          <w:p>
            <w:r>
              <w:rPr>
                <w:sz w:val="14"/>
              </w:rPr>
              <w:t>Regulation</w:t>
            </w:r>
          </w:p>
        </w:tc>
        <w:tc>
          <w:tcPr>
            <w:tcW w:type="dxa" w:w="1234"/>
          </w:tcPr>
          <w:p>
            <w:r>
              <w:rPr>
                <w:sz w:val="14"/>
              </w:rPr>
              <w:t>2026</w:t>
            </w:r>
          </w:p>
        </w:tc>
        <w:tc>
          <w:tcPr>
            <w:tcW w:type="dxa" w:w="1234"/>
          </w:tcPr>
          <w:p>
            <w:r>
              <w:rPr>
                <w:sz w:val="14"/>
              </w:rPr>
              <w:t>Norwegian implementation of EU REACH; includes restriction on intentionally added microplastics (synthetic polymer microparticles) effective in Norway from 17 March 2025, with phased market bans by product category.</w:t>
            </w:r>
          </w:p>
        </w:tc>
        <w:tc>
          <w:tcPr>
            <w:tcW w:type="dxa" w:w="1234"/>
          </w:tcPr>
          <w:p>
            <w:r>
              <w:rPr>
                <w:sz w:val="14"/>
              </w:rPr>
              <w:t>Cosmetics; detergents; agriculture; sports surfaces; chemicals; manufacturing</w:t>
            </w:r>
          </w:p>
        </w:tc>
        <w:tc>
          <w:tcPr>
            <w:tcW w:type="dxa" w:w="1234"/>
          </w:tcPr>
          <w:p>
            <w:r>
              <w:rPr>
                <w:sz w:val="14"/>
              </w:rPr>
              <w:t>Production; Use/Consumption; Litter/Pollution</w:t>
            </w:r>
          </w:p>
        </w:tc>
        <w:tc>
          <w:tcPr>
            <w:tcW w:type="dxa" w:w="1234"/>
          </w:tcPr>
          <w:p>
            <w:r>
              <w:rPr>
                <w:sz w:val="14"/>
              </w:rPr>
            </w:r>
            <w:hyperlink r:id="rId17">
              <w:r>
                <w:rPr>
                  <w:color w:val="0563C1"/>
                  <w:u w:val="single"/>
                </w:rPr>
                <w:t>lovdata.no – REACH-forskriften</w:t>
              </w:r>
            </w:hyperlink>
          </w:p>
        </w:tc>
      </w:tr>
      <w:tr>
        <w:tc>
          <w:tcPr>
            <w:tcW w:type="dxa" w:w="1234"/>
          </w:tcPr>
          <w:p>
            <w:r>
              <w:rPr>
                <w:sz w:val="14"/>
              </w:rPr>
              <w:t>Forskrift om miljømessig sikkerhet for skip og flyttbare innretninger – § 11: MARPOL vedlegg V (søppelforurensing)</w:t>
            </w:r>
          </w:p>
        </w:tc>
        <w:tc>
          <w:tcPr>
            <w:tcW w:type="dxa" w:w="1234"/>
          </w:tcPr>
          <w:p>
            <w:r>
              <w:rPr>
                <w:sz w:val="14"/>
              </w:rPr>
              <w:t>Regulation</w:t>
            </w:r>
          </w:p>
        </w:tc>
        <w:tc>
          <w:tcPr>
            <w:tcW w:type="dxa" w:w="1234"/>
          </w:tcPr>
          <w:p>
            <w:r>
              <w:rPr>
                <w:sz w:val="14"/>
              </w:rPr>
              <w:t>2025</w:t>
            </w:r>
          </w:p>
        </w:tc>
        <w:tc>
          <w:tcPr>
            <w:tcW w:type="dxa" w:w="1234"/>
          </w:tcPr>
          <w:p>
            <w:r>
              <w:rPr>
                <w:sz w:val="14"/>
              </w:rPr>
              <w:t>Incorporates MARPOL Annex V (2022 consolidated edition) prohibiting discharge of garbage including plastics at sea; requires onboard storage, waste record books, and delivery to port reception facilities.</w:t>
            </w:r>
          </w:p>
        </w:tc>
        <w:tc>
          <w:tcPr>
            <w:tcW w:type="dxa" w:w="1234"/>
          </w:tcPr>
          <w:p>
            <w:r>
              <w:rPr>
                <w:sz w:val="14"/>
              </w:rPr>
              <w:t>Maritime; offshore; fisheries</w:t>
            </w:r>
          </w:p>
        </w:tc>
        <w:tc>
          <w:tcPr>
            <w:tcW w:type="dxa" w:w="1234"/>
          </w:tcPr>
          <w:p>
            <w:r>
              <w:rPr>
                <w:sz w:val="14"/>
              </w:rPr>
              <w:t>Use/Consumption; Litter/Pollution</w:t>
            </w:r>
          </w:p>
        </w:tc>
        <w:tc>
          <w:tcPr>
            <w:tcW w:type="dxa" w:w="1234"/>
          </w:tcPr>
          <w:p>
            <w:r>
              <w:rPr>
                <w:sz w:val="14"/>
              </w:rPr>
            </w:r>
            <w:hyperlink r:id="rId18">
              <w:r>
                <w:rPr>
                  <w:color w:val="0563C1"/>
                  <w:u w:val="single"/>
                </w:rPr>
                <w:t>lovdata.no – Skipssikkerhetsforskriften § 11</w:t>
              </w:r>
            </w:hyperlink>
          </w:p>
        </w:tc>
      </w:tr>
      <w:tr>
        <w:tc>
          <w:tcPr>
            <w:tcW w:type="dxa" w:w="1234"/>
          </w:tcPr>
          <w:p>
            <w:r>
              <w:rPr>
                <w:sz w:val="14"/>
              </w:rPr>
              <w:t>Meld. St. 45 (2016–2017) – Kap. 7: Marin forsøpling og mikroplast</w:t>
            </w:r>
          </w:p>
        </w:tc>
        <w:tc>
          <w:tcPr>
            <w:tcW w:type="dxa" w:w="1234"/>
          </w:tcPr>
          <w:p>
            <w:r>
              <w:rPr>
                <w:sz w:val="14"/>
              </w:rPr>
              <w:t>Government white paper / Strategy</w:t>
            </w:r>
          </w:p>
        </w:tc>
        <w:tc>
          <w:tcPr>
            <w:tcW w:type="dxa" w:w="1234"/>
          </w:tcPr>
          <w:p>
            <w:r>
              <w:rPr>
                <w:sz w:val="14"/>
              </w:rPr>
              <w:t>2017</w:t>
            </w:r>
          </w:p>
        </w:tc>
        <w:tc>
          <w:tcPr>
            <w:tcW w:type="dxa" w:w="1234"/>
          </w:tcPr>
          <w:p>
            <w:r>
              <w:rPr>
                <w:sz w:val="14"/>
              </w:rPr>
              <w:t>National strategy chapter on marine litter and microplastics; responds to Parliament's request for a microplastics action plan; sets ambitions to prevent plastic and microplastic inputs to marine and freshwater environments.</w:t>
            </w:r>
          </w:p>
        </w:tc>
        <w:tc>
          <w:tcPr>
            <w:tcW w:type="dxa" w:w="1234"/>
          </w:tcPr>
          <w:p>
            <w:r>
              <w:rPr>
                <w:sz w:val="14"/>
              </w:rPr>
              <w:t>Marine; fisheries; municipalities; industry</w:t>
            </w:r>
          </w:p>
        </w:tc>
        <w:tc>
          <w:tcPr>
            <w:tcW w:type="dxa" w:w="1234"/>
          </w:tcPr>
          <w:p>
            <w:r>
              <w:rPr>
                <w:sz w:val="14"/>
              </w:rPr>
              <w:t>Litter/Pollution; End-of-life; Production (indirect)</w:t>
            </w:r>
          </w:p>
        </w:tc>
        <w:tc>
          <w:tcPr>
            <w:tcW w:type="dxa" w:w="1234"/>
          </w:tcPr>
          <w:p>
            <w:r>
              <w:rPr>
                <w:sz w:val="14"/>
              </w:rPr>
            </w:r>
            <w:hyperlink r:id="rId19">
              <w:r>
                <w:rPr>
                  <w:color w:val="0563C1"/>
                  <w:u w:val="single"/>
                </w:rPr>
                <w:t>regjeringen.no – Meld. St. 45 (2016–2017) kap. 7</w:t>
              </w:r>
            </w:hyperlink>
          </w:p>
        </w:tc>
      </w:tr>
      <w:tr>
        <w:tc>
          <w:tcPr>
            <w:tcW w:type="dxa" w:w="1234"/>
          </w:tcPr>
          <w:p>
            <w:r>
              <w:rPr>
                <w:sz w:val="14"/>
              </w:rPr>
              <w:t>Forskrift om begrensning av forurensning (Forurensningsforskriften) – Kap. 23A: Idrettsbaner med plastholdig løst fyllmateriale</w:t>
            </w:r>
          </w:p>
        </w:tc>
        <w:tc>
          <w:tcPr>
            <w:tcW w:type="dxa" w:w="1234"/>
          </w:tcPr>
          <w:p>
            <w:r>
              <w:rPr>
                <w:sz w:val="14"/>
              </w:rPr>
              <w:t>Regulation</w:t>
            </w:r>
          </w:p>
        </w:tc>
        <w:tc>
          <w:tcPr>
            <w:tcW w:type="dxa" w:w="1234"/>
          </w:tcPr>
          <w:p>
            <w:r>
              <w:rPr>
                <w:sz w:val="14"/>
              </w:rPr>
              <w:t>2021</w:t>
            </w:r>
          </w:p>
        </w:tc>
        <w:tc>
          <w:tcPr>
            <w:tcW w:type="dxa" w:w="1234"/>
          </w:tcPr>
          <w:p>
            <w:r>
              <w:rPr>
                <w:sz w:val="14"/>
              </w:rPr>
              <w:t>Requirements for design and operation of sports surfaces using plastic infill (e.g. artificial turf rubber granulate): physical barriers, snow handling, granulate management, and substitution assessments to prevent microplastic spread.</w:t>
            </w:r>
          </w:p>
        </w:tc>
        <w:tc>
          <w:tcPr>
            <w:tcW w:type="dxa" w:w="1234"/>
          </w:tcPr>
          <w:p>
            <w:r>
              <w:rPr>
                <w:sz w:val="14"/>
              </w:rPr>
              <w:t>Sports; municipalities; construction</w:t>
            </w:r>
          </w:p>
        </w:tc>
        <w:tc>
          <w:tcPr>
            <w:tcW w:type="dxa" w:w="1234"/>
          </w:tcPr>
          <w:p>
            <w:r>
              <w:rPr>
                <w:sz w:val="14"/>
              </w:rPr>
              <w:t>Use/Consumption; Litter/Pollution</w:t>
            </w:r>
          </w:p>
        </w:tc>
        <w:tc>
          <w:tcPr>
            <w:tcW w:type="dxa" w:w="1234"/>
          </w:tcPr>
          <w:p>
            <w:r>
              <w:rPr>
                <w:sz w:val="14"/>
              </w:rPr>
            </w:r>
            <w:hyperlink r:id="rId20">
              <w:r>
                <w:rPr>
                  <w:color w:val="0563C1"/>
                  <w:u w:val="single"/>
                </w:rPr>
                <w:t>lovdata.no – Forurensningsforskriften kap. 23A</w:t>
              </w:r>
            </w:hyperlink>
          </w:p>
        </w:tc>
      </w:tr>
      <w:tr>
        <w:tc>
          <w:tcPr>
            <w:tcW w:type="dxa" w:w="1234"/>
          </w:tcPr>
          <w:p>
            <w:r>
              <w:rPr>
                <w:sz w:val="14"/>
              </w:rPr>
              <w:t>Forskrift om begrensning i bruk av helse- og miljøfarlige kjemikalier og andre produkter (Produktforskriften) – Kap. 2b: Regulering av enkelte produkter av plast</w:t>
            </w:r>
          </w:p>
        </w:tc>
        <w:tc>
          <w:tcPr>
            <w:tcW w:type="dxa" w:w="1234"/>
          </w:tcPr>
          <w:p>
            <w:r>
              <w:rPr>
                <w:sz w:val="14"/>
              </w:rPr>
              <w:t>Regulation</w:t>
            </w:r>
          </w:p>
        </w:tc>
        <w:tc>
          <w:tcPr>
            <w:tcW w:type="dxa" w:w="1234"/>
          </w:tcPr>
          <w:p>
            <w:r>
              <w:rPr>
                <w:sz w:val="14"/>
              </w:rPr>
              <w:t>2026</w:t>
            </w:r>
          </w:p>
        </w:tc>
        <w:tc>
          <w:tcPr>
            <w:tcW w:type="dxa" w:w="1234"/>
          </w:tcPr>
          <w:p>
            <w:r>
              <w:rPr>
                <w:sz w:val="14"/>
              </w:rPr>
              <w:t>Implements EU Single-Use Plastics rules: bans on certain SUP items and oxo-degradable plastic; marking requirements; tethered caps on plastic beverage containers; minimum 25% recycled PET in bottles from 2025.</w:t>
            </w:r>
          </w:p>
        </w:tc>
        <w:tc>
          <w:tcPr>
            <w:tcW w:type="dxa" w:w="1234"/>
          </w:tcPr>
          <w:p>
            <w:r>
              <w:rPr>
                <w:sz w:val="14"/>
              </w:rPr>
              <w:t>Retail; food service; cosmetics; manufacturing</w:t>
            </w:r>
          </w:p>
        </w:tc>
        <w:tc>
          <w:tcPr>
            <w:tcW w:type="dxa" w:w="1234"/>
          </w:tcPr>
          <w:p>
            <w:r>
              <w:rPr>
                <w:sz w:val="14"/>
              </w:rPr>
              <w:t>Production; Design; Use/Consumption; Litter/Pollution</w:t>
            </w:r>
          </w:p>
        </w:tc>
        <w:tc>
          <w:tcPr>
            <w:tcW w:type="dxa" w:w="1234"/>
          </w:tcPr>
          <w:p>
            <w:r>
              <w:rPr>
                <w:sz w:val="14"/>
              </w:rPr>
            </w:r>
            <w:hyperlink r:id="rId21">
              <w:r>
                <w:rPr>
                  <w:color w:val="0563C1"/>
                  <w:u w:val="single"/>
                </w:rPr>
                <w:t>lovdata.no – Produktforskriften kap. 2b</w:t>
              </w:r>
            </w:hyperlink>
          </w:p>
        </w:tc>
      </w:tr>
      <w:tr>
        <w:tc>
          <w:tcPr>
            <w:tcW w:type="dxa" w:w="1234"/>
          </w:tcPr>
          <w:p>
            <w:r>
              <w:rPr>
                <w:sz w:val="14"/>
              </w:rPr>
              <w:t>Forskrift om gjennomføring av fiske, fangst og høsting (Høstingsforskriften) – Kap. XV–XVI: Merking og tap av redskap</w:t>
            </w:r>
          </w:p>
        </w:tc>
        <w:tc>
          <w:tcPr>
            <w:tcW w:type="dxa" w:w="1234"/>
          </w:tcPr>
          <w:p>
            <w:r>
              <w:rPr>
                <w:sz w:val="14"/>
              </w:rPr>
              <w:t>Regulation</w:t>
            </w:r>
          </w:p>
        </w:tc>
        <w:tc>
          <w:tcPr>
            <w:tcW w:type="dxa" w:w="1234"/>
          </w:tcPr>
          <w:p>
            <w:r>
              <w:rPr>
                <w:sz w:val="14"/>
              </w:rPr>
              <w:t>2025</w:t>
            </w:r>
          </w:p>
        </w:tc>
        <w:tc>
          <w:tcPr>
            <w:tcW w:type="dxa" w:w="1234"/>
          </w:tcPr>
          <w:p>
            <w:r>
              <w:rPr>
                <w:sz w:val="14"/>
              </w:rPr>
              <w:t>Rules on marking of fishing gear and measures to prevent and address lost gear (including plastic-containing gear), reducing ghost fishing and marine plastic pollution from fisheries.</w:t>
            </w:r>
          </w:p>
        </w:tc>
        <w:tc>
          <w:tcPr>
            <w:tcW w:type="dxa" w:w="1234"/>
          </w:tcPr>
          <w:p>
            <w:r>
              <w:rPr>
                <w:sz w:val="14"/>
              </w:rPr>
              <w:t>Fisheries; aquaculture; recreational fishing</w:t>
            </w:r>
          </w:p>
        </w:tc>
        <w:tc>
          <w:tcPr>
            <w:tcW w:type="dxa" w:w="1234"/>
          </w:tcPr>
          <w:p>
            <w:r>
              <w:rPr>
                <w:sz w:val="14"/>
              </w:rPr>
              <w:t>Use/Consumption; Litter/Pollution</w:t>
            </w:r>
          </w:p>
        </w:tc>
        <w:tc>
          <w:tcPr>
            <w:tcW w:type="dxa" w:w="1234"/>
          </w:tcPr>
          <w:p>
            <w:r>
              <w:rPr>
                <w:sz w:val="14"/>
              </w:rPr>
            </w:r>
            <w:hyperlink r:id="rId22">
              <w:r>
                <w:rPr>
                  <w:color w:val="0563C1"/>
                  <w:u w:val="single"/>
                </w:rPr>
                <w:t>lovdata.no – Høstingsforskriften kap. XVI</w:t>
              </w:r>
            </w:hyperlink>
          </w:p>
        </w:tc>
      </w:tr>
      <w:tr>
        <w:tc>
          <w:tcPr>
            <w:tcW w:type="dxa" w:w="1234"/>
          </w:tcPr>
          <w:p>
            <w:r>
              <w:rPr>
                <w:sz w:val="14"/>
              </w:rPr>
              <w:t>Nasjonal strategi for ein grøn, sirkulær økonomi</w:t>
            </w:r>
          </w:p>
        </w:tc>
        <w:tc>
          <w:tcPr>
            <w:tcW w:type="dxa" w:w="1234"/>
          </w:tcPr>
          <w:p>
            <w:r>
              <w:rPr>
                <w:sz w:val="14"/>
              </w:rPr>
              <w:t>National strategy</w:t>
            </w:r>
          </w:p>
        </w:tc>
        <w:tc>
          <w:tcPr>
            <w:tcW w:type="dxa" w:w="1234"/>
          </w:tcPr>
          <w:p>
            <w:r>
              <w:rPr>
                <w:sz w:val="14"/>
              </w:rPr>
              <w:t>2021</w:t>
            </w:r>
          </w:p>
        </w:tc>
        <w:tc>
          <w:tcPr>
            <w:tcW w:type="dxa" w:w="1234"/>
          </w:tcPr>
          <w:p>
            <w:r>
              <w:rPr>
                <w:sz w:val="14"/>
              </w:rPr>
              <w:t>Overarching circular economy strategy including measures to promote circular plastics use, reduce marine plastic litter, and strengthen material recycling across value chains.</w:t>
            </w:r>
          </w:p>
        </w:tc>
        <w:tc>
          <w:tcPr>
            <w:tcW w:type="dxa" w:w="1234"/>
          </w:tcPr>
          <w:p>
            <w:r>
              <w:rPr>
                <w:sz w:val="14"/>
              </w:rPr>
              <w:t>All sectors; waste management; manufacturing</w:t>
            </w:r>
          </w:p>
        </w:tc>
        <w:tc>
          <w:tcPr>
            <w:tcW w:type="dxa" w:w="1234"/>
          </w:tcPr>
          <w:p>
            <w:r>
              <w:rPr>
                <w:sz w:val="14"/>
              </w:rPr>
              <w:t>Production; End-of-life; Use/Consumption</w:t>
            </w:r>
          </w:p>
        </w:tc>
        <w:tc>
          <w:tcPr>
            <w:tcW w:type="dxa" w:w="1234"/>
          </w:tcPr>
          <w:p>
            <w:r>
              <w:rPr>
                <w:sz w:val="14"/>
              </w:rPr>
            </w:r>
            <w:hyperlink r:id="rId23">
              <w:r>
                <w:rPr>
                  <w:color w:val="0563C1"/>
                  <w:u w:val="single"/>
                </w:rPr>
                <w:t>regjeringen.no – Nasjonal sirkulærøkonomistrategi</w:t>
              </w:r>
            </w:hyperlink>
          </w:p>
        </w:tc>
      </w:tr>
      <w:tr>
        <w:tc>
          <w:tcPr>
            <w:tcW w:type="dxa" w:w="1234"/>
          </w:tcPr>
          <w:p>
            <w:r>
              <w:rPr>
                <w:sz w:val="14"/>
              </w:rPr>
              <w:t>Noregs plaststrategi (Norwegian Plastics Strategy)</w:t>
            </w:r>
          </w:p>
        </w:tc>
        <w:tc>
          <w:tcPr>
            <w:tcW w:type="dxa" w:w="1234"/>
          </w:tcPr>
          <w:p>
            <w:r>
              <w:rPr>
                <w:sz w:val="14"/>
              </w:rPr>
              <w:t>National strategy / Action plan</w:t>
            </w:r>
          </w:p>
        </w:tc>
        <w:tc>
          <w:tcPr>
            <w:tcW w:type="dxa" w:w="1234"/>
          </w:tcPr>
          <w:p>
            <w:r>
              <w:rPr>
                <w:sz w:val="14"/>
              </w:rPr>
              <w:t>2021</w:t>
            </w:r>
          </w:p>
        </w:tc>
        <w:tc>
          <w:tcPr>
            <w:tcW w:type="dxa" w:w="1234"/>
          </w:tcPr>
          <w:p>
            <w:r>
              <w:rPr>
                <w:sz w:val="14"/>
              </w:rPr>
              <w:t>Comprehensive national plastics management plan covering the full plastic lifecycle: prevention, sustainable production/consumption, waste management, marine litter cleanup, and microplastics; coordinates sectoral measures.</w:t>
            </w:r>
          </w:p>
        </w:tc>
        <w:tc>
          <w:tcPr>
            <w:tcW w:type="dxa" w:w="1234"/>
          </w:tcPr>
          <w:p>
            <w:r>
              <w:rPr>
                <w:sz w:val="14"/>
              </w:rPr>
              <w:t>All sectors; fisheries; aquaculture; municipalities; industry</w:t>
            </w:r>
          </w:p>
        </w:tc>
        <w:tc>
          <w:tcPr>
            <w:tcW w:type="dxa" w:w="1234"/>
          </w:tcPr>
          <w:p>
            <w:r>
              <w:rPr>
                <w:sz w:val="14"/>
              </w:rPr>
              <w:t>Production; Use/Consumption; End-of-life; Litter/Pollution</w:t>
            </w:r>
          </w:p>
        </w:tc>
        <w:tc>
          <w:tcPr>
            <w:tcW w:type="dxa" w:w="1234"/>
          </w:tcPr>
          <w:p>
            <w:r>
              <w:rPr>
                <w:sz w:val="14"/>
              </w:rPr>
            </w:r>
            <w:hyperlink r:id="rId24">
              <w:r>
                <w:rPr>
                  <w:color w:val="0563C1"/>
                  <w:u w:val="single"/>
                </w:rPr>
                <w:t>regjeringen.no – Noregs plaststrategi</w:t>
              </w:r>
            </w:hyperlink>
          </w:p>
        </w:tc>
      </w:tr>
      <w:tr>
        <w:tc>
          <w:tcPr>
            <w:tcW w:type="dxa" w:w="1234"/>
          </w:tcPr>
          <w:p>
            <w:r>
              <w:rPr>
                <w:sz w:val="14"/>
              </w:rPr>
              <w:t>Forskrift om gjenvinning og behandling av avfall (Avfallsforskriften) – Kap. 10a: Utsortering og innsamling av plastavfall</w:t>
            </w:r>
          </w:p>
        </w:tc>
        <w:tc>
          <w:tcPr>
            <w:tcW w:type="dxa" w:w="1234"/>
          </w:tcPr>
          <w:p>
            <w:r>
              <w:rPr>
                <w:sz w:val="14"/>
              </w:rPr>
              <w:t>Regulation</w:t>
            </w:r>
          </w:p>
        </w:tc>
        <w:tc>
          <w:tcPr>
            <w:tcW w:type="dxa" w:w="1234"/>
          </w:tcPr>
          <w:p>
            <w:r>
              <w:rPr>
                <w:sz w:val="14"/>
              </w:rPr>
              <w:t>2025</w:t>
            </w:r>
          </w:p>
        </w:tc>
        <w:tc>
          <w:tcPr>
            <w:tcW w:type="dxa" w:w="1234"/>
          </w:tcPr>
          <w:p>
            <w:r>
              <w:rPr>
                <w:sz w:val="14"/>
              </w:rPr>
              <w:t>Municipal and business duties for source separation and collection of household plastic waste; targets 50% source-sorting of recyclable plastic waste by 2028, 60% by 2030, 70% by 2035. Also covers agricultural plastic waste.</w:t>
            </w:r>
          </w:p>
        </w:tc>
        <w:tc>
          <w:tcPr>
            <w:tcW w:type="dxa" w:w="1234"/>
          </w:tcPr>
          <w:p>
            <w:r>
              <w:rPr>
                <w:sz w:val="14"/>
              </w:rPr>
              <w:t>Municipalities; waste management; agriculture; households</w:t>
            </w:r>
          </w:p>
        </w:tc>
        <w:tc>
          <w:tcPr>
            <w:tcW w:type="dxa" w:w="1234"/>
          </w:tcPr>
          <w:p>
            <w:r>
              <w:rPr>
                <w:sz w:val="14"/>
              </w:rPr>
              <w:t>End-of-life</w:t>
            </w:r>
          </w:p>
        </w:tc>
        <w:tc>
          <w:tcPr>
            <w:tcW w:type="dxa" w:w="1234"/>
          </w:tcPr>
          <w:p>
            <w:r>
              <w:rPr>
                <w:sz w:val="14"/>
              </w:rPr>
            </w:r>
            <w:hyperlink r:id="rId25">
              <w:r>
                <w:rPr>
                  <w:color w:val="0563C1"/>
                  <w:u w:val="single"/>
                </w:rPr>
                <w:t>lovdata.no – Avfallsforskriften kap. 10a</w:t>
              </w:r>
            </w:hyperlink>
          </w:p>
        </w:tc>
      </w:tr>
      <w:tr>
        <w:tc>
          <w:tcPr>
            <w:tcW w:type="dxa" w:w="1234"/>
          </w:tcPr>
          <w:p>
            <w:r>
              <w:rPr>
                <w:sz w:val="14"/>
              </w:rPr>
              <w:t>Handlingsplan for en sirkulær økonomi 2024–2025</w:t>
            </w:r>
          </w:p>
        </w:tc>
        <w:tc>
          <w:tcPr>
            <w:tcW w:type="dxa" w:w="1234"/>
          </w:tcPr>
          <w:p>
            <w:r>
              <w:rPr>
                <w:sz w:val="14"/>
              </w:rPr>
              <w:t>Government action plan</w:t>
            </w:r>
          </w:p>
        </w:tc>
        <w:tc>
          <w:tcPr>
            <w:tcW w:type="dxa" w:w="1234"/>
          </w:tcPr>
          <w:p>
            <w:r>
              <w:rPr>
                <w:sz w:val="14"/>
              </w:rPr>
              <w:t>2024</w:t>
            </w:r>
          </w:p>
        </w:tc>
        <w:tc>
          <w:tcPr>
            <w:tcW w:type="dxa" w:w="1234"/>
          </w:tcPr>
          <w:p>
            <w:r>
              <w:rPr>
                <w:sz w:val="14"/>
              </w:rPr>
              <w:t>Follow-up action plan to the circular economy strategy; includes concrete measures on plastics: EPR for single-use plastics and fishing gear, microplastics under REACH, and preparation for EU packaging rules.</w:t>
            </w:r>
          </w:p>
        </w:tc>
        <w:tc>
          <w:tcPr>
            <w:tcW w:type="dxa" w:w="1234"/>
          </w:tcPr>
          <w:p>
            <w:r>
              <w:rPr>
                <w:sz w:val="14"/>
              </w:rPr>
              <w:t>All sectors; fisheries; waste management</w:t>
            </w:r>
          </w:p>
        </w:tc>
        <w:tc>
          <w:tcPr>
            <w:tcW w:type="dxa" w:w="1234"/>
          </w:tcPr>
          <w:p>
            <w:r>
              <w:rPr>
                <w:sz w:val="14"/>
              </w:rPr>
              <w:t>Production; End-of-life; Litter/Pollution</w:t>
            </w:r>
          </w:p>
        </w:tc>
        <w:tc>
          <w:tcPr>
            <w:tcW w:type="dxa" w:w="1234"/>
          </w:tcPr>
          <w:p>
            <w:r>
              <w:rPr>
                <w:sz w:val="14"/>
              </w:rPr>
            </w:r>
            <w:hyperlink r:id="rId26">
              <w:r>
                <w:rPr>
                  <w:color w:val="0563C1"/>
                  <w:u w:val="single"/>
                </w:rPr>
                <w:t>regjeringen.no – Handlingsplan sirkulær økonomi</w:t>
              </w:r>
            </w:hyperlink>
          </w:p>
        </w:tc>
      </w:tr>
      <w:tr>
        <w:tc>
          <w:tcPr>
            <w:tcW w:type="dxa" w:w="1234"/>
          </w:tcPr>
          <w:p>
            <w:r>
              <w:rPr>
                <w:sz w:val="14"/>
              </w:rPr>
              <w:t>Lov om bærekraftige produkter og verdikjeder (Bærekraftige produkter-loven)</w:t>
            </w:r>
          </w:p>
        </w:tc>
        <w:tc>
          <w:tcPr>
            <w:tcW w:type="dxa" w:w="1234"/>
          </w:tcPr>
          <w:p>
            <w:r>
              <w:rPr>
                <w:sz w:val="14"/>
              </w:rPr>
              <w:t>Act (Law)</w:t>
            </w:r>
          </w:p>
        </w:tc>
        <w:tc>
          <w:tcPr>
            <w:tcW w:type="dxa" w:w="1234"/>
          </w:tcPr>
          <w:p>
            <w:r>
              <w:rPr>
                <w:sz w:val="14"/>
              </w:rPr>
              <w:t>2026</w:t>
            </w:r>
          </w:p>
        </w:tc>
        <w:tc>
          <w:tcPr>
            <w:tcW w:type="dxa" w:w="1234"/>
          </w:tcPr>
          <w:p>
            <w:r>
              <w:rPr>
                <w:sz w:val="14"/>
              </w:rPr>
              <w:t>Enabling law for implementing EU sustainable product and circular economy rules in Norway, including future requirements on plastic products, packaging, EPR, waste prevention, and recycled content across value chains.</w:t>
            </w:r>
          </w:p>
        </w:tc>
        <w:tc>
          <w:tcPr>
            <w:tcW w:type="dxa" w:w="1234"/>
          </w:tcPr>
          <w:p>
            <w:r>
              <w:rPr>
                <w:sz w:val="14"/>
              </w:rPr>
              <w:t>All sectors; manufacturing; retail</w:t>
            </w:r>
          </w:p>
        </w:tc>
        <w:tc>
          <w:tcPr>
            <w:tcW w:type="dxa" w:w="1234"/>
          </w:tcPr>
          <w:p>
            <w:r>
              <w:rPr>
                <w:sz w:val="14"/>
              </w:rPr>
              <w:t>Production; Design; End-of-life; Use/Consumption</w:t>
            </w:r>
          </w:p>
        </w:tc>
        <w:tc>
          <w:tcPr>
            <w:tcW w:type="dxa" w:w="1234"/>
          </w:tcPr>
          <w:p>
            <w:r>
              <w:rPr>
                <w:sz w:val="14"/>
              </w:rPr>
            </w:r>
            <w:hyperlink r:id="rId27">
              <w:r>
                <w:rPr>
                  <w:color w:val="0563C1"/>
                  <w:u w:val="single"/>
                </w:rPr>
                <w:t>lovdata.no – Bærekraftige produkter-loven</w:t>
              </w:r>
            </w:hyperlink>
          </w:p>
        </w:tc>
      </w:tr>
      <w:tr>
        <w:tc>
          <w:tcPr>
            <w:tcW w:type="dxa" w:w="1234"/>
          </w:tcPr>
          <w:p>
            <w:r>
              <w:rPr>
                <w:sz w:val="14"/>
              </w:rPr>
              <w:t>Forskrift om gjenvinning og behandling av avfall (Avfallsforskriften) – Kap. 7A: Utvidet produsentansvar for engangsplastprodukter</w:t>
            </w:r>
          </w:p>
        </w:tc>
        <w:tc>
          <w:tcPr>
            <w:tcW w:type="dxa" w:w="1234"/>
          </w:tcPr>
          <w:p>
            <w:r>
              <w:rPr>
                <w:sz w:val="14"/>
              </w:rPr>
              <w:t>Regulation</w:t>
            </w:r>
          </w:p>
        </w:tc>
        <w:tc>
          <w:tcPr>
            <w:tcW w:type="dxa" w:w="1234"/>
          </w:tcPr>
          <w:p>
            <w:r>
              <w:rPr>
                <w:sz w:val="14"/>
              </w:rPr>
              <w:t>2025</w:t>
            </w:r>
          </w:p>
        </w:tc>
        <w:tc>
          <w:tcPr>
            <w:tcW w:type="dxa" w:w="1234"/>
          </w:tcPr>
          <w:p>
            <w:r>
              <w:rPr>
                <w:sz w:val="14"/>
              </w:rPr>
              <w:t>New EPR chapter for listed single-use plastic products (food containers, cups, wet wipes, lightweight carrier bags, etc.): producers must cover municipal litter cleanup and public-bin collection costs from 1 January 2027; consumer awareness obligations.</w:t>
            </w:r>
          </w:p>
        </w:tc>
        <w:tc>
          <w:tcPr>
            <w:tcW w:type="dxa" w:w="1234"/>
          </w:tcPr>
          <w:p>
            <w:r>
              <w:rPr>
                <w:sz w:val="14"/>
              </w:rPr>
              <w:t>Retail; food service; tobacco; manufacturing; municipalities</w:t>
            </w:r>
          </w:p>
        </w:tc>
        <w:tc>
          <w:tcPr>
            <w:tcW w:type="dxa" w:w="1234"/>
          </w:tcPr>
          <w:p>
            <w:r>
              <w:rPr>
                <w:sz w:val="14"/>
              </w:rPr>
              <w:t>Use/Consumption; End-of-life; Litter/Pollution</w:t>
            </w:r>
          </w:p>
        </w:tc>
        <w:tc>
          <w:tcPr>
            <w:tcW w:type="dxa" w:w="1234"/>
          </w:tcPr>
          <w:p>
            <w:r>
              <w:rPr>
                <w:sz w:val="14"/>
              </w:rPr>
            </w:r>
            <w:hyperlink r:id="rId28">
              <w:r>
                <w:rPr>
                  <w:color w:val="0563C1"/>
                  <w:u w:val="single"/>
                </w:rPr>
                <w:t>lovdata.no – Avfallsforskriften kap. 7A</w:t>
              </w:r>
            </w:hyperlink>
          </w:p>
        </w:tc>
      </w:tr>
      <w:tr>
        <w:tc>
          <w:tcPr>
            <w:tcW w:type="dxa" w:w="1234"/>
          </w:tcPr>
          <w:p>
            <w:r>
              <w:rPr>
                <w:sz w:val="14"/>
              </w:rPr>
              <w:t>Forskrift om gjenvinning og behandling av avfall (Avfallsforskriften) – Kap. 7B: Utvidet produsentansvar for fiskeutstyr med plast</w:t>
            </w:r>
          </w:p>
        </w:tc>
        <w:tc>
          <w:tcPr>
            <w:tcW w:type="dxa" w:w="1234"/>
          </w:tcPr>
          <w:p>
            <w:r>
              <w:rPr>
                <w:sz w:val="14"/>
              </w:rPr>
              <w:t>Regulation</w:t>
            </w:r>
          </w:p>
        </w:tc>
        <w:tc>
          <w:tcPr>
            <w:tcW w:type="dxa" w:w="1234"/>
          </w:tcPr>
          <w:p>
            <w:r>
              <w:rPr>
                <w:sz w:val="14"/>
              </w:rPr>
              <w:t>2025</w:t>
            </w:r>
          </w:p>
        </w:tc>
        <w:tc>
          <w:tcPr>
            <w:tcW w:type="dxa" w:w="1234"/>
          </w:tcPr>
          <w:p>
            <w:r>
              <w:rPr>
                <w:sz w:val="14"/>
              </w:rPr>
              <w:t>New EPR for fishing, recreational fishing and aquaculture equipment containing plastic: producers must ensure separate collection, treatment, and cost coverage; aims to reduce fishing-gear litter and microplastic spread.</w:t>
            </w:r>
          </w:p>
        </w:tc>
        <w:tc>
          <w:tcPr>
            <w:tcW w:type="dxa" w:w="1234"/>
          </w:tcPr>
          <w:p>
            <w:r>
              <w:rPr>
                <w:sz w:val="14"/>
              </w:rPr>
              <w:t>Fisheries; aquaculture; recreational fishing; manufacturing</w:t>
            </w:r>
          </w:p>
        </w:tc>
        <w:tc>
          <w:tcPr>
            <w:tcW w:type="dxa" w:w="1234"/>
          </w:tcPr>
          <w:p>
            <w:r>
              <w:rPr>
                <w:sz w:val="14"/>
              </w:rPr>
              <w:t>Use/Consumption; End-of-life; Litter/Pollution</w:t>
            </w:r>
          </w:p>
        </w:tc>
        <w:tc>
          <w:tcPr>
            <w:tcW w:type="dxa" w:w="1234"/>
          </w:tcPr>
          <w:p>
            <w:r>
              <w:rPr>
                <w:sz w:val="14"/>
              </w:rPr>
            </w:r>
            <w:hyperlink r:id="rId29">
              <w:r>
                <w:rPr>
                  <w:color w:val="0563C1"/>
                  <w:u w:val="single"/>
                </w:rPr>
                <w:t>lovdata.no – Avfallsforskriften kap. 7B</w:t>
              </w:r>
            </w:hyperlink>
          </w:p>
        </w:tc>
      </w:tr>
    </w:tbl>
    <w:p/>
    <w:p>
      <w:r>
        <w:rPr>
          <w:b/>
        </w:rPr>
        <w:t xml:space="preserve">Notes: </w:t>
      </w:r>
      <w:r>
        <w:t>Last amendment years verified against Lovdata (legislation) and regjeringen.no (strategies/plans) as of June 2026. Kapittel 2b of Produktforskriften entered into force 3 July 2021 (forskrift 18 December 2020 nr. 3200). REACH microplastics restriction incorporated in Norway 17 March 2025 (forskrift 17 March 2025 nr. 487). Plastic carrier bag reduction is implemented via Avfallsforskriften kap. 7 (reporting) and industry measures under the EU Packaging Directive framework; national target is max. 40 bags per person per year by end-2025 per government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ovdata.no/dokument/NL/lov/1976-06-11-79" TargetMode="External"/><Relationship Id="rId10" Type="http://schemas.openxmlformats.org/officeDocument/2006/relationships/hyperlink" Target="https://lovdata.no/dokument/NL/lov/1981-03-13-6" TargetMode="External"/><Relationship Id="rId11" Type="http://schemas.openxmlformats.org/officeDocument/2006/relationships/hyperlink" Target="https://lovdata.no/dokument/SF/forskrift/2001-12-11-1451/KAPITTEL_3-5" TargetMode="External"/><Relationship Id="rId12" Type="http://schemas.openxmlformats.org/officeDocument/2006/relationships/hyperlink" Target="https://lovdata.no/dokument/STV/forskrift/2025-12-18-2775" TargetMode="External"/><Relationship Id="rId13" Type="http://schemas.openxmlformats.org/officeDocument/2006/relationships/hyperlink" Target="https://lovdata.no/dokument/SF/forskrift/2004-06-01-931/kap20" TargetMode="External"/><Relationship Id="rId14" Type="http://schemas.openxmlformats.org/officeDocument/2006/relationships/hyperlink" Target="https://lovdata.no/dokument/SF/forskrift/2004-06-01-930/KAPITTEL_5" TargetMode="External"/><Relationship Id="rId15" Type="http://schemas.openxmlformats.org/officeDocument/2006/relationships/hyperlink" Target="https://lovdata.no/dokument/SF/forskrift/2004-06-01-930/KAPITTEL_6" TargetMode="External"/><Relationship Id="rId16" Type="http://schemas.openxmlformats.org/officeDocument/2006/relationships/hyperlink" Target="https://lovdata.no/dokument/SF/forskrift/2004-06-01-930/KAPITTEL_7" TargetMode="External"/><Relationship Id="rId17" Type="http://schemas.openxmlformats.org/officeDocument/2006/relationships/hyperlink" Target="https://lovdata.no/dokument/SF/forskrift/2008-05-30-516" TargetMode="External"/><Relationship Id="rId18" Type="http://schemas.openxmlformats.org/officeDocument/2006/relationships/hyperlink" Target="https://lovdata.no/dokument/SF/forskrift/2012-05-30-488/%C2%A711" TargetMode="External"/><Relationship Id="rId19" Type="http://schemas.openxmlformats.org/officeDocument/2006/relationships/hyperlink" Target="https://www.regjeringen.no/no/dokumenter/meld.-st.-45-20162017/id2558274/?ch=7" TargetMode="External"/><Relationship Id="rId20" Type="http://schemas.openxmlformats.org/officeDocument/2006/relationships/hyperlink" Target="https://lovdata.no/dokument/SF/forskrift/2004-06-01-931/KAPITTEL_7-6" TargetMode="External"/><Relationship Id="rId21" Type="http://schemas.openxmlformats.org/officeDocument/2006/relationships/hyperlink" Target="https://lovdata.no/dokument/SF/forskrift/2004-06-01-922/KAPITTEL_4" TargetMode="External"/><Relationship Id="rId22" Type="http://schemas.openxmlformats.org/officeDocument/2006/relationships/hyperlink" Target="https://lovdata.no/dokument/SF/forskrift/2021-12-23-3910/KAPITTEL_16" TargetMode="External"/><Relationship Id="rId23" Type="http://schemas.openxmlformats.org/officeDocument/2006/relationships/hyperlink" Target="https://www.regjeringen.no/no/dokumenter/nasjonal-strategi-for-ein-gron-sirkular-okonomi/id2861253/" TargetMode="External"/><Relationship Id="rId24" Type="http://schemas.openxmlformats.org/officeDocument/2006/relationships/hyperlink" Target="https://www.regjeringen.no/no/dokumenter/noregs-plaststrategi/id2867004/" TargetMode="External"/><Relationship Id="rId25" Type="http://schemas.openxmlformats.org/officeDocument/2006/relationships/hyperlink" Target="https://lovdata.no/dokument/SF/forskrift/2004-06-01-930/kap10a" TargetMode="External"/><Relationship Id="rId26" Type="http://schemas.openxmlformats.org/officeDocument/2006/relationships/hyperlink" Target="https://www.regjeringen.no/no/dokumenter/handlingsplan-for-en-sirkulaer-okonomi/id3029477/" TargetMode="External"/><Relationship Id="rId27" Type="http://schemas.openxmlformats.org/officeDocument/2006/relationships/hyperlink" Target="https://lovdata.no/dokument/NL/lov/2024-06-25-69" TargetMode="External"/><Relationship Id="rId28" Type="http://schemas.openxmlformats.org/officeDocument/2006/relationships/hyperlink" Target="https://lovdata.no/dokument/SF/forskrift/2004-06-01-930/KAPITTEL_8" TargetMode="External"/><Relationship Id="rId29" Type="http://schemas.openxmlformats.org/officeDocument/2006/relationships/hyperlink" Target="https://lovdata.no/dokument/SF/forskrift/2004-06-01-930/KAPITTEL_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