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ESMF — Climate Resilient Roads for the North (P500488)</w:t>
      </w:r>
    </w:p>
    <w:p>
      <w:r>
        <w:t>The source document is already in English. This Word file provides a structured summary of key environmental and social provisions, particularly waste management requirements relevant to the 4P Index coding.</w:t>
      </w:r>
    </w:p>
    <w:p>
      <w:r>
        <w:rPr>
          <w:b/>
        </w:rPr>
        <w:t xml:space="preserve">Official title: </w:t>
      </w:r>
      <w:r>
        <w:t>Environmental and Social Management Framework (ESMF) — Climate Resilient Roads for the North</w:t>
      </w:r>
    </w:p>
    <w:p>
      <w:r>
        <w:rPr>
          <w:b/>
        </w:rPr>
        <w:t xml:space="preserve">Source URL: </w:t>
      </w:r>
      <w:r>
        <w:t>https://fe.gov.mz/storage/app/uploads/public/65f/2da/871/65f2da8718c30622471525.pdf</w:t>
      </w:r>
    </w:p>
    <w:p>
      <w:pPr>
        <w:pStyle w:val="Heading2"/>
      </w:pPr>
      <w:r>
        <w:t>Document summary</w:t>
      </w:r>
    </w:p>
    <w:p>
      <w:pPr>
        <w:spacing w:after="120"/>
      </w:pPr>
      <w:r>
        <w:t>ENVIRONMENTAL AND SOCIAL MANAGEMENT FRAMEWORK (ESMF)</w:t>
        <w:br/>
        <w:t>Climate Resilient Roads for the North Project (P500488)</w:t>
        <w:br/>
        <w:t>Republic of Mozambique</w:t>
      </w:r>
    </w:p>
    <w:p>
      <w:pPr>
        <w:spacing w:after="120"/>
      </w:pPr>
      <w:r>
        <w:t>Source URL: https://fe.gov.mz/storage/app/uploads/public/65f/2da/871/65f2da8718c30622471525.pdf</w:t>
        <w:br/>
        <w:t>Prepared for: Administração Nacional de Estradas (ANE)</w:t>
        <w:br/>
        <w:t>Prepared by: JBN Consult / EA Consultoria (Joint Venture)</w:t>
        <w:br/>
        <w:t>Date: 06 March 2024</w:t>
        <w:br/>
        <w:t>World Bank Project P500488</w:t>
      </w:r>
    </w:p>
    <w:p>
      <w:pPr>
        <w:spacing w:after="120"/>
      </w:pPr>
      <w:r>
        <w:t>Note: This document is already written in English. The following is a structured summary of key provisions for reference alongside the 4P Index coding table. The full 209-page ESMF should be consulted for complete text.</w:t>
      </w:r>
    </w:p>
    <w:p>
      <w:pPr>
        <w:pStyle w:val="Heading3"/>
      </w:pPr>
      <w:r>
        <w:t>Executive Summary</w:t>
      </w:r>
    </w:p>
    <w:p>
      <w:pPr>
        <w:spacing w:after="120"/>
      </w:pPr>
      <w:r>
        <w:t>The Climate Resilient Roads for the North (CRRN) project aims to improve climate-resilient connectivity in Cabo Delgado, Nampula and Niassa provinces through rehabilitation and construction of roads, bridges and drainage structures. The World Bank has agreed to fund a US$125 million envelope.</w:t>
      </w:r>
    </w:p>
    <w:p>
      <w:pPr>
        <w:spacing w:after="120"/>
      </w:pPr>
      <w:r>
        <w:t>This ESMF establishes the framework for assessing, managing and monitoring environmental and social impacts of CRRN subprojects in compliance with Mozambique national legislation and World Bank Environmental and Social Standards (ESS). Contractors must prepare site-specific Contractor ESMPs (CESMP) including Waste Management Plans. A Grievance Redress Mechanism (GRM) will receive and resolve project-related complaints.</w:t>
      </w:r>
    </w:p>
    <w:p>
      <w:pPr>
        <w:spacing w:after="120"/>
      </w:pPr>
      <w:r>
        <w:t>Total budget for ESMF implementation and associated instruments: US$3,100,000.</w:t>
      </w:r>
    </w:p>
    <w:p>
      <w:pPr>
        <w:pStyle w:val="Heading3"/>
      </w:pPr>
      <w:r>
        <w:t>1. Project Components</w:t>
      </w:r>
    </w:p>
    <w:p>
      <w:pPr>
        <w:spacing w:after="120"/>
      </w:pPr>
      <w:r>
        <w:t>- Sub-component 1.1: Rehabilitation of priority secondary roads</w:t>
        <w:br/>
        <w:t>- Sub-component 1.2: Improvement of bridges and drainage structures (US$38.1 million)</w:t>
        <w:br/>
        <w:t>- Component 2: Institutional strengthening and project management</w:t>
        <w:br/>
        <w:t>- Contingent Emergency Response Component (CERC) for emergency recovery activities</w:t>
      </w:r>
    </w:p>
    <w:p>
      <w:pPr>
        <w:pStyle w:val="Heading3"/>
      </w:pPr>
      <w:r>
        <w:t>2. Applicable Mozambique Legislation (Waste-Relevant)</w:t>
      </w:r>
    </w:p>
    <w:p>
      <w:pPr>
        <w:spacing w:after="120"/>
      </w:pPr>
      <w:r>
        <w:t>The ESMF confirms applicability of:</w:t>
        <w:br/>
        <w:t>- Environmental Law (Law No. 20/97)</w:t>
        <w:br/>
        <w:t>- Regulation on urban solid waste management (Decree No. 94/2014) — MTA</w:t>
        <w:br/>
        <w:t>- Hazardous Waste Management (Decree No. 83/2014) — MTA</w:t>
        <w:br/>
        <w:t>- Environmental Impact Assessment Regulation (Decree No. 54/2015) — MTA</w:t>
        <w:br/>
        <w:t>- Regulation on Environmental Standards and Effluent Emission (Decree No. 18/2004, as amended)</w:t>
        <w:br/>
        <w:t>- Regulation on Environmental Audit Process (Decree No. 25/2011)</w:t>
      </w:r>
    </w:p>
    <w:p>
      <w:pPr>
        <w:pStyle w:val="Heading3"/>
      </w:pPr>
      <w:r>
        <w:t>3. Waste Management Requirements (Key Provisions)</w:t>
      </w:r>
    </w:p>
    <w:p>
      <w:pPr>
        <w:spacing w:after="120"/>
      </w:pPr>
      <w:r>
        <w:t>Generic mitigation (Section 5.2.2):</w:t>
        <w:br/>
        <w:t>- Preparation of Waste Management Plan following the waste hierarchy, supported by staff training</w:t>
        <w:br/>
        <w:t>- Use of authorized contractors for hazardous and other wastes</w:t>
        <w:br/>
        <w:t>- Earthworks balanced to minimise material consumption and waste</w:t>
      </w:r>
    </w:p>
    <w:p>
      <w:pPr>
        <w:spacing w:after="120"/>
      </w:pPr>
      <w:r>
        <w:t>Contractor specifications (Annex / CESMP requirements):</w:t>
      </w:r>
    </w:p>
    <w:p>
      <w:pPr>
        <w:spacing w:after="120"/>
      </w:pPr>
      <w:r>
        <w:t>Solid waste:</w:t>
        <w:br/>
        <w:t>- Submit solid waste control method statement for Supervision Engineer approval</w:t>
        <w:br/>
        <w:t>- Keep site free of litter; provide litter bins and refuse collection at all workplaces</w:t>
        <w:br/>
        <w:t>- No burning, on-site burying or dumping</w:t>
        <w:br/>
        <w:t>- Dispose all solid waste at approved landfill with certificates of disposal</w:t>
        <w:br/>
        <w:t>- Random disposal in scenery areas strictly prohibited</w:t>
        <w:br/>
        <w:t>- Fence waste storage areas to prevent wind-blown litter</w:t>
        <w:br/>
        <w:t>- Separate and recycle packaging materials, steel, wood, scaffolding — re-use or sell to waste collectors</w:t>
      </w:r>
    </w:p>
    <w:p>
      <w:pPr>
        <w:spacing w:after="120"/>
      </w:pPr>
      <w:r>
        <w:t>Hazardous waste:</w:t>
        <w:br/>
        <w:t>- Dispose at approved hazardous landfill per Decreto 83/2014</w:t>
        <w:br/>
        <w:t>- Used oil/grease to approved recycling company</w:t>
        <w:br/>
        <w:t>- No spoiling of bitumen on site; return unused products to supplier</w:t>
        <w:br/>
        <w:t>- Spill reporting and remedial action required</w:t>
      </w:r>
    </w:p>
    <w:p>
      <w:pPr>
        <w:spacing w:after="120"/>
      </w:pPr>
      <w:r>
        <w:t>Wastewater:</w:t>
        <w:br/>
        <w:t>- Conservancy tanks for kitchen/shower/laboratory wastewater</w:t>
        <w:br/>
        <w:t>- Licensed waste collectors for sewage</w:t>
        <w:br/>
        <w:t>- Treated discharge must comply with legislation</w:t>
      </w:r>
    </w:p>
    <w:p>
      <w:pPr>
        <w:pStyle w:val="Heading3"/>
      </w:pPr>
      <w:r>
        <w:t>4. Environmental And Social Assessment Process</w:t>
      </w:r>
    </w:p>
    <w:p>
      <w:pPr>
        <w:spacing w:after="120"/>
      </w:pPr>
      <w:r>
        <w:t>Six steps: (1) Screening and scoping; (2) Risk classification; (3) ESIA/assessment; (4) Stakeholder consultation and disclosure; (5) MTA review and approval; (6) Implementation and monitoring.</w:t>
      </w:r>
    </w:p>
    <w:p>
      <w:pPr>
        <w:spacing w:after="120"/>
      </w:pPr>
      <w:r>
        <w:t>ESIA annexes include: OHS plan, Community Health and Safety Plan, Biodiversity Management Plan (if required), Traffic Safety Plan, Chance Find Procedures, and Waste Management Plan.</w:t>
      </w:r>
    </w:p>
    <w:p>
      <w:pPr>
        <w:pStyle w:val="Heading3"/>
      </w:pPr>
      <w:r>
        <w:t>5. Grievance Redress Mechanism</w:t>
      </w:r>
    </w:p>
    <w:p>
      <w:pPr>
        <w:spacing w:after="120"/>
      </w:pPr>
      <w:r>
        <w:t>Project-level GRM established under Stakeholder Engagement Plan (SEP) to receive, evaluate and resolve grievances. Contractors must establish GRMs at ancillary facilities. Budget for SEP: US$390,000.</w:t>
      </w:r>
    </w:p>
    <w:p>
      <w:pPr>
        <w:pStyle w:val="Heading3"/>
      </w:pPr>
      <w:r>
        <w:t>6. Monitoring And Reporting</w:t>
      </w:r>
    </w:p>
    <w:p>
      <w:pPr>
        <w:spacing w:after="120"/>
      </w:pPr>
      <w:r>
        <w:t>ANE and Implementing Partner (IP) responsible for ESMF monitoring in collaboration with provincial authorities, site visits, reporting, and GRM inputs. World Bank supervision throughout project cycle.</w:t>
      </w:r>
    </w:p>
    <w:p>
      <w:pPr>
        <w:spacing w:after="120"/>
      </w:pPr>
      <w:r>
        <w:t>Plastics relevance note for 4P Index: The ESMF does not mention plastics or plastic bags explicitly. It is coded because construction solid waste management, litter prevention, packaging material recycling, and compliance with Decreto 94/2014 (urban solid waste) apply to plastic waste streams generated during road construction (filter criteria b and c).</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