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São Tomé and Príncipe</w:t>
      </w:r>
    </w:p>
    <w:p>
      <w:pPr>
        <w:spacing w:after="120"/>
        <w:jc w:val="center"/>
      </w:pPr>
      <w:r>
        <w:rPr>
          <w:b/>
          <w:sz w:val="36"/>
        </w:rPr>
        <w:t>DECREE NO. 36/1999</w:t>
      </w:r>
    </w:p>
    <w:p>
      <w:pPr>
        <w:spacing w:after="120"/>
        <w:jc w:val="center"/>
      </w:pPr>
      <w:r>
        <w:rPr>
          <w:b/>
          <w:sz w:val="30"/>
        </w:rPr>
        <w:t>DECREE ON WASTE</w:t>
      </w:r>
    </w:p>
    <w:p>
      <w:r>
        <w:rPr>
          <w:i/>
          <w:sz w:val="19"/>
        </w:rPr>
        <w:t>(Decreto n.º 36/1999 — Decreto Sobre Resíduos; the decree's own heading reads "Decreto n.º 36/99". English translation of the full text, including both Annexes. Approved by the Council of Ministers on 25 February 1999 and promulgated by the President of the Republic on 3 August 1999; published 30 November 1999. No subsequent amendment has been identified.)</w:t>
      </w:r>
    </w:p>
    <w:p>
      <w:r>
        <w:rPr>
          <w:i/>
          <w:sz w:val="19"/>
        </w:rPr>
        <w:t>IMPORTANT SOURCE-QUALITY NOTE: the only full-text copy of this decree located online (FAOLEX, https://faolex.fao.org/docs/pdf/sao23426.pdf) is a low-resolution scan with substantial OCR character-recognition errors throughout. Most of the decree could be reconstructed with high confidence from the legible text, headings and legal-drafting context, and cross-checked against a secondary summary of the decree's content. However, Articles 14 through 21 (in particular Arts. 15–17, on collection and transport standards) are especially degraded in the source scan, and the translation of those provisions below reflects a best-effort reconstruction rather than a verified word-for-word rendering. This is a working translation prepared for policy-analysis purposes; it is not an official or certified legal translation, and the original Portuguese text (ideally sourced from the Diário da República) remains the sole authoritative version.</w:t>
      </w:r>
    </w:p>
    <w:p/>
    <w:p>
      <w:pPr>
        <w:pStyle w:val="Heading1"/>
      </w:pPr>
      <w:r>
        <w:t>Preamble</w:t>
      </w:r>
    </w:p>
    <w:p>
      <w:r>
        <w:t>Pursuing a strategy aimed at encouraging lower production of solid waste, the development of technological processes allowing its recycling, the elimination of non-recycled waste under conditions of maximum use of its energy potential, and other objectives, together with adequate protection of the environment, must have as its starting point real knowledge of the quantities of waste produced, its characterisation, final destination and those responsible for it.</w:t>
      </w:r>
    </w:p>
    <w:p>
      <w:r>
        <w:t>In order to achieve this objective, it is necessary to lay the foundations of a system of mandatory waste registration and to define competencies and responsibilities in the field of its management.</w:t>
      </w:r>
    </w:p>
    <w:p>
      <w:r>
        <w:t>It is in this context that the present decree arises, with the purpose of defining the parameters for the management and treatment of this waste, so as to allow — despite the scarcity of means — efficient and lasting national management.</w:t>
      </w:r>
    </w:p>
    <w:p>
      <w:r>
        <w:t>In these terms, in the exercise of the power conferred by paragraph (c) of Article 99 of the Constitution, the Government of the Democratic Republic of São Tomé and Príncipe decrees, and I promulgate, the following:</w:t>
      </w:r>
    </w:p>
    <w:p>
      <w:pPr>
        <w:spacing w:after="120"/>
        <w:jc w:val="center"/>
      </w:pPr>
      <w:r>
        <w:rPr>
          <w:b/>
          <w:sz w:val="28"/>
        </w:rPr>
        <w:t>DECREE ON WASTE</w:t>
      </w:r>
    </w:p>
    <w:p>
      <w:pPr>
        <w:pStyle w:val="Heading1"/>
      </w:pPr>
      <w:r>
        <w:t>Chapter I — General Provisions</w:t>
      </w:r>
    </w:p>
    <w:p>
      <w:r>
        <w:rPr>
          <w:i/>
          <w:sz w:val="19"/>
        </w:rPr>
        <w:t>(Principle, Scope of Application and General Definitions)</w:t>
      </w:r>
    </w:p>
    <w:p>
      <w:pPr>
        <w:pStyle w:val="Heading2"/>
      </w:pPr>
      <w:r>
        <w:t>Article 1 — Principle</w:t>
      </w:r>
    </w:p>
    <w:p>
      <w:r>
        <w:t>The holder of solid waste, whatever its nature and origin, must ensure its collection, storage, transport and disposal or use, in such a way that it does not endanger species or cause harm to the environment.</w:t>
      </w:r>
    </w:p>
    <w:p>
      <w:pPr>
        <w:pStyle w:val="Heading2"/>
      </w:pPr>
      <w:r>
        <w:t>Article 2 — Scope of Application</w:t>
      </w:r>
    </w:p>
    <w:p>
      <w:r>
        <w:t>This decree specifies the data to be taken into account in licensing the various operations of collection, transport, storage, disposal or use of solid waste, with a view to the conservation of species and of the environment.</w:t>
      </w:r>
    </w:p>
    <w:p>
      <w:pPr>
        <w:pStyle w:val="Heading2"/>
      </w:pPr>
      <w:r>
        <w:t>Article 3 — Definitions</w:t>
      </w:r>
    </w:p>
    <w:p>
      <w:r>
        <w:t>1. For the purposes of this decree, the following definitions apply:</w:t>
      </w:r>
    </w:p>
    <w:p>
      <w:pPr>
        <w:pStyle w:val="ListBullet"/>
      </w:pPr>
      <w:r>
        <w:t>a) Waste — a set of materials, which may include what remains of raw materials after their use, and which cannot be considered a by-product or product, of which the holder wishes, or needs, to dispose;</w:t>
      </w:r>
    </w:p>
    <w:p>
      <w:pPr>
        <w:pStyle w:val="ListBullet"/>
      </w:pPr>
      <w:r>
        <w:t>b) Toxic or hazardous waste — toxic or hazardous waste containing one or more substances or products listed in Annex I to this decree, which represent a risk to human health or to the environment;</w:t>
      </w:r>
    </w:p>
    <w:p>
      <w:pPr>
        <w:pStyle w:val="ListBullet"/>
      </w:pPr>
      <w:r>
        <w:t>c) Industrial solid waste — the whole set of substances, products or materials in solid form resulting from the operation of industrial establishments, which cannot be discharged into effluent systems and are not considered by-products;</w:t>
      </w:r>
    </w:p>
    <w:p>
      <w:pPr>
        <w:pStyle w:val="ListBullet"/>
      </w:pPr>
      <w:r>
        <w:t>d) By-products — products obtained from raw materials whose production was not the determining reason for the use of those raw materials;</w:t>
      </w:r>
    </w:p>
    <w:p>
      <w:pPr>
        <w:pStyle w:val="ListBullet"/>
      </w:pPr>
      <w:r>
        <w:t>e) Depot — a site previously determined and delimited, to which waste is temporarily directed for the purposes of transport to the treatment site;</w:t>
      </w:r>
    </w:p>
    <w:p>
      <w:pPr>
        <w:pStyle w:val="ListBullet"/>
      </w:pPr>
      <w:r>
        <w:t>f) Sanitary landfill — an appropriate excavation for the accumulation of waste, subject to daily covering and compaction with a layer of earth;</w:t>
      </w:r>
    </w:p>
    <w:p>
      <w:pPr>
        <w:pStyle w:val="ListBullet"/>
      </w:pPr>
      <w:r>
        <w:t>g) Incineration — combustion of solid, liquid and gaseous waste at high temperature;</w:t>
      </w:r>
    </w:p>
    <w:p>
      <w:pPr>
        <w:pStyle w:val="ListBullet"/>
      </w:pPr>
      <w:r>
        <w:t>h) Composting — reduction of plant and animal waste, whether through natural biological decomposition of organic matter in the open air, or through controlled mechanical means, with the aim of enriching soil fertility;</w:t>
      </w:r>
    </w:p>
    <w:p>
      <w:pPr>
        <w:pStyle w:val="ListBullet"/>
      </w:pPr>
      <w:r>
        <w:t>i) Recycling — a treatment method applied to matter that allows its reuse, with the aim of rationalising natural resources and protecting the environment.</w:t>
      </w:r>
    </w:p>
    <w:p>
      <w:r>
        <w:t>2. For the purposes of this decree, 'company' is to be understood as including industrial, commercial and hospitality establishments, including restaurants and snack bars.</w:t>
      </w:r>
    </w:p>
    <w:p>
      <w:pPr>
        <w:pStyle w:val="Heading1"/>
      </w:pPr>
      <w:r>
        <w:t>Chapter II — Classification, Inventory, Destination and Recovery</w:t>
      </w:r>
    </w:p>
    <w:p>
      <w:pPr>
        <w:spacing w:after="80"/>
      </w:pPr>
      <w:r>
        <w:rPr>
          <w:b/>
          <w:sz w:val="24"/>
        </w:rPr>
        <w:t>Section I — Classification</w:t>
      </w:r>
    </w:p>
    <w:p>
      <w:pPr>
        <w:pStyle w:val="Heading2"/>
      </w:pPr>
      <w:r>
        <w:t>Article 4 — Types of Waste</w:t>
      </w:r>
    </w:p>
    <w:p>
      <w:r>
        <w:t>1. According to their origin, solid waste is classified as:</w:t>
      </w:r>
    </w:p>
    <w:p>
      <w:pPr>
        <w:pStyle w:val="ListBullet"/>
      </w:pPr>
      <w:r>
        <w:t>a) Domestic;</w:t>
      </w:r>
    </w:p>
    <w:p>
      <w:pPr>
        <w:pStyle w:val="ListBullet"/>
      </w:pPr>
      <w:r>
        <w:t>b) Industrial and Commercial;</w:t>
      </w:r>
    </w:p>
    <w:p>
      <w:pPr>
        <w:pStyle w:val="ListBullet"/>
      </w:pPr>
      <w:r>
        <w:t>c) Hospital;</w:t>
      </w:r>
    </w:p>
    <w:p>
      <w:pPr>
        <w:pStyle w:val="ListBullet"/>
      </w:pPr>
      <w:r>
        <w:t>d) Agronomic products.</w:t>
      </w:r>
    </w:p>
    <w:p>
      <w:r>
        <w:t>2. According to their nature, these are classified as hazardous and non-hazardous.</w:t>
      </w:r>
    </w:p>
    <w:p>
      <w:pPr>
        <w:pStyle w:val="Heading2"/>
      </w:pPr>
      <w:r>
        <w:t>Article 5 — Domestic Waste</w:t>
      </w:r>
    </w:p>
    <w:p>
      <w:r>
        <w:t>Waste produced by the population in its daily domestic activity.</w:t>
      </w:r>
    </w:p>
    <w:p>
      <w:pPr>
        <w:pStyle w:val="Heading2"/>
      </w:pPr>
      <w:r>
        <w:t>Article 6 — Industrial and Commercial Waste</w:t>
      </w:r>
    </w:p>
    <w:p>
      <w:r>
        <w:t>Waste referred to in Article 3(c), as well as waste resulting from the operation of commercial establishments, including hospitality and bar activities, whether biodegradable or not.</w:t>
      </w:r>
    </w:p>
    <w:p>
      <w:pPr>
        <w:pStyle w:val="Heading2"/>
      </w:pPr>
      <w:r>
        <w:t>Article 7 — Hospital Waste</w:t>
      </w:r>
    </w:p>
    <w:p>
      <w:r>
        <w:t>Waste produced in hospitals and equivalent centres, arising from medical-surgical activity, classified as waste.</w:t>
      </w:r>
    </w:p>
    <w:p>
      <w:pPr>
        <w:pStyle w:val="Heading2"/>
      </w:pPr>
      <w:r>
        <w:t>Article 8 — Agronomic Products</w:t>
      </w:r>
    </w:p>
    <w:p>
      <w:r>
        <w:t>Products arising from the use of pesticides, herbicides and other substances used in agricultural activity in the fight against vectors and pests.</w:t>
      </w:r>
    </w:p>
    <w:p>
      <w:pPr>
        <w:spacing w:after="80"/>
      </w:pPr>
      <w:r>
        <w:rPr>
          <w:b/>
          <w:sz w:val="24"/>
        </w:rPr>
        <w:t>Section II — Inventory, Destination and Recovery</w:t>
      </w:r>
    </w:p>
    <w:p>
      <w:pPr>
        <w:pStyle w:val="Heading2"/>
      </w:pPr>
      <w:r>
        <w:t>Article 9 — Inventory obligation</w:t>
      </w:r>
    </w:p>
    <w:p>
      <w:r>
        <w:t>1. District Chambers, companies and health units must, in relation to their own waste, organise and keep up to date an inventory indicating, with adequate time reference, the quantities, nature, origin and destination of the waste produced or collected, in accordance with the model set out in Annex II.</w:t>
      </w:r>
    </w:p>
    <w:p>
      <w:r>
        <w:t>2. In the case of toxic or hazardous waste, a register must also exist recording, in addition to the elements considered in the preceding paragraph, the storage conditions, location and disposal, as well as the methods used for this purpose.</w:t>
      </w:r>
    </w:p>
    <w:p>
      <w:r>
        <w:t>3. The inventories and registers referred to in the preceding paragraphs, and the data they contain, must be made available to entities with supervisory competence whenever requested.</w:t>
      </w:r>
    </w:p>
    <w:p>
      <w:pPr>
        <w:pStyle w:val="Heading2"/>
      </w:pPr>
      <w:r>
        <w:t>Article 10 — Destination</w:t>
      </w:r>
    </w:p>
    <w:p>
      <w:r>
        <w:t>The destination to be given by companies to their waste must be included in the licensing process, with an indication of the expected nature and quantity of the waste produced, in addition to other elements to be specified in subsequent regulation.</w:t>
      </w:r>
    </w:p>
    <w:p>
      <w:pPr>
        <w:pStyle w:val="Heading2"/>
      </w:pPr>
      <w:r>
        <w:t>Article 11 — Recovery</w:t>
      </w:r>
    </w:p>
    <w:p>
      <w:r>
        <w:t>Projects relating to the recovery of waste, as well as energy-recovery projects, are approved by the member of the Government responsible for the environment sector, who shall provide technical and technological assistance to such projects.</w:t>
      </w:r>
    </w:p>
    <w:p>
      <w:pPr>
        <w:pStyle w:val="Heading1"/>
      </w:pPr>
      <w:r>
        <w:t>Chapter III — Competencies</w:t>
      </w:r>
    </w:p>
    <w:p>
      <w:pPr>
        <w:pStyle w:val="Heading2"/>
      </w:pPr>
      <w:r>
        <w:t>Article 12 — Competence of the Central Administration</w:t>
      </w:r>
    </w:p>
    <w:p>
      <w:r>
        <w:t>1. It is incumbent upon the licensing ministries and the ministry responsible for the environment, by joint order, to regulate the specifications relating to compliance with this decree, particularly with regard to supervision of its application and the conditions for penalties in the event of non-compliance.</w:t>
      </w:r>
    </w:p>
    <w:p>
      <w:r>
        <w:t>2. It is specifically incumbent upon the ministry responsible for the environment, having heard the ministers of health, industry, commerce and tourism, to:</w:t>
      </w:r>
    </w:p>
    <w:p>
      <w:pPr>
        <w:pStyle w:val="ListBullet"/>
      </w:pPr>
      <w:r>
        <w:t>a) Define national policy in the field of waste;</w:t>
      </w:r>
    </w:p>
    <w:p>
      <w:pPr>
        <w:pStyle w:val="ListBullet"/>
      </w:pPr>
      <w:r>
        <w:t>b) Establish plans of national and regional character and general directives for the removal, treatment and final destination of waste;</w:t>
      </w:r>
    </w:p>
    <w:p>
      <w:pPr>
        <w:pStyle w:val="ListBullet"/>
      </w:pPr>
      <w:r>
        <w:t>c) Issue binding opinions on projects submitted to it by District Chambers, individually or in association;</w:t>
      </w:r>
    </w:p>
    <w:p>
      <w:pPr>
        <w:pStyle w:val="ListBullet"/>
      </w:pPr>
      <w:r>
        <w:t>d) Make investments relating to sanitary landfills and other waste treatment and final-destination facilities.</w:t>
      </w:r>
    </w:p>
    <w:p>
      <w:pPr>
        <w:pStyle w:val="Heading2"/>
      </w:pPr>
      <w:r>
        <w:t>Article 13 — Competence of the District Chambers</w:t>
      </w:r>
    </w:p>
    <w:p>
      <w:r>
        <w:t>Without prejudice to the provisions of Article 9, it is the responsibility of the District Chambers, within the areas of their jurisdiction and regardless of the nature of the matter, to issue regulations best adapted to their specific characteristics, with the aim of ensuring good performance in the process of supervision and imposition of penalties for non-compliance with this decree, being responsible in particular for:</w:t>
      </w:r>
    </w:p>
    <w:p>
      <w:pPr>
        <w:pStyle w:val="ListBullet"/>
      </w:pPr>
      <w:r>
        <w:t>a) Defining the systems for the removal, treatment and final destination of waste produced within their areas of jurisdiction, and drawing up — with the necessary justification and in accordance with public-health and environmental-protection criteria, taking into account the desired effectiveness and efficiency — the respective projects, within the framework of the rules, regulations and other provisions in force, as well as those existing for the region, and submitting them for the opinion of the ministry responsible for the environment;</w:t>
      </w:r>
    </w:p>
    <w:p>
      <w:pPr>
        <w:pStyle w:val="ListBullet"/>
      </w:pPr>
      <w:r>
        <w:t>b) Promoting the implementation of projects that have received a favourable opinion from the ministry responsible for the environment, and making the investments necessary for that purpose;</w:t>
      </w:r>
    </w:p>
    <w:p>
      <w:pPr>
        <w:pStyle w:val="ListBullet"/>
      </w:pPr>
      <w:r>
        <w:t>c) Publishing by-laws on the collection and transport of waste, in which the general guidelines for the operations set out in the removal plans are established;</w:t>
      </w:r>
    </w:p>
    <w:p>
      <w:pPr>
        <w:pStyle w:val="ListBullet"/>
      </w:pPr>
      <w:r>
        <w:t>d) Planning, organising and promoting the collection, transport, disposal or use of waste;</w:t>
      </w:r>
    </w:p>
    <w:p>
      <w:pPr>
        <w:pStyle w:val="ListBullet"/>
      </w:pPr>
      <w:r>
        <w:t>e) Ensuring the creation of sanitary landfills within the areas of their jurisdiction;</w:t>
      </w:r>
    </w:p>
    <w:p>
      <w:pPr>
        <w:pStyle w:val="ListBullet"/>
      </w:pPr>
      <w:r>
        <w:t>f) Collecting fines arising from infractions of this decree.</w:t>
      </w:r>
    </w:p>
    <w:p>
      <w:pPr>
        <w:pStyle w:val="Heading2"/>
      </w:pPr>
      <w:r>
        <w:t>Article 14 — [Duty of companies and health units]</w:t>
      </w:r>
    </w:p>
    <w:p>
      <w:r>
        <w:rPr>
          <w:i/>
          <w:sz w:val="19"/>
        </w:rPr>
        <w:t>(Note: this article is one of the most degraded portions of the source scan. The following reflects best-effort reconstruction from legible fragments, the article's position in the decree, and the cross-reference in Article 9, and should be verified against the official text.)</w:t>
      </w:r>
    </w:p>
    <w:p>
      <w:r>
        <w:t>It is incumbent upon companies and health units to give proper destination to their own waste, under the terms set out in this decree; they may, however, associate with the District Chambers for the collection, treatment, transport, storage, disposal or use of such waste, or with duly authorised consortia formed for that purpose, where they do not have their own means available in the area where the waste is generated.</w:t>
      </w:r>
    </w:p>
    <w:p>
      <w:pPr>
        <w:pStyle w:val="Heading1"/>
      </w:pPr>
      <w:r>
        <w:t>Chapter IV — Collection, Transport, Sorting, Treatment and Elimination</w:t>
      </w:r>
    </w:p>
    <w:p>
      <w:r>
        <w:rPr>
          <w:i/>
          <w:sz w:val="19"/>
        </w:rPr>
        <w:t>(Note: the heading of this chapter, and the text of Articles 15–17 in particular, are heavily degraded in the source scan. The reconstruction below follows the legible article titles and surrounding context; verification against the official Diário da República text is strongly recommended for this chapter.)</w:t>
      </w:r>
    </w:p>
    <w:p>
      <w:pPr>
        <w:pStyle w:val="Heading2"/>
      </w:pPr>
      <w:r>
        <w:t>Article 15 — Collection</w:t>
      </w:r>
    </w:p>
    <w:p>
      <w:r>
        <w:t>For the purposes of this decree, collection is the operation consisting of gathering waste and directing it to the treatment site, using devices appropriate to ensure its proper collection.</w:t>
      </w:r>
    </w:p>
    <w:p>
      <w:r>
        <w:t>1. Waste collection must be carried out using closed or covered receptacles suited to the type of waste, to be emptied with a frequency compatible with public-health and hygiene requirements.</w:t>
      </w:r>
    </w:p>
    <w:p>
      <w:r>
        <w:t>2. Collection should preferably take place, in urban areas in particular, at a frequency that avoids the accumulation of waste and the resulting nuisance to residents and users of public spaces.</w:t>
      </w:r>
    </w:p>
    <w:p>
      <w:pPr>
        <w:pStyle w:val="Heading2"/>
      </w:pPr>
      <w:r>
        <w:t>Article 16 — [Collection frequency / urban areas]</w:t>
      </w:r>
    </w:p>
    <w:p>
      <w:r>
        <w:t>In residential areas and other urbanised zones, the removal of household waste must be carried out with sufficient regularity to prevent accumulation, taking into account local population density and public-health conditions.</w:t>
      </w:r>
    </w:p>
    <w:p>
      <w:pPr>
        <w:pStyle w:val="Heading2"/>
      </w:pPr>
      <w:r>
        <w:t>Article 17 — Transport</w:t>
      </w:r>
    </w:p>
    <w:p>
      <w:r>
        <w:t>1. The transport of waste must, as a rule, be carried out using closed-body vehicles or vehicles fitted with appropriate covering devices.</w:t>
      </w:r>
    </w:p>
    <w:p>
      <w:r>
        <w:t>2. Where it is not possible to use a closed-body vehicle, waste may be transported in an open-body vehicle, provided that appropriate covering is used and the minimum health and safety standards are observed.</w:t>
      </w:r>
    </w:p>
    <w:p>
      <w:r>
        <w:t>3. The provisions of the preceding paragraph do not apply to the transport of hospital waste, or of toxic or hazardous waste.</w:t>
      </w:r>
    </w:p>
    <w:p>
      <w:pPr>
        <w:pStyle w:val="Heading2"/>
      </w:pPr>
      <w:r>
        <w:t>Article 18 — Sorting</w:t>
      </w:r>
    </w:p>
    <w:p>
      <w:r>
        <w:t>Sorting consists of the separation of waste according to its nature, resulting, in particular, in the separation of organic matter from inorganic matter.</w:t>
      </w:r>
    </w:p>
    <w:p>
      <w:pPr>
        <w:pStyle w:val="Heading2"/>
      </w:pPr>
      <w:r>
        <w:t>Article 19 — Treatment and elimination methods</w:t>
      </w:r>
    </w:p>
    <w:p>
      <w:r>
        <w:t>1. For the purposes of waste elimination and treatment, the following forms may be used:</w:t>
      </w:r>
    </w:p>
    <w:p>
      <w:pPr>
        <w:pStyle w:val="ListBullet"/>
      </w:pPr>
      <w:r>
        <w:t>a) Sanitary landfill;</w:t>
      </w:r>
    </w:p>
    <w:p>
      <w:pPr>
        <w:pStyle w:val="ListBullet"/>
      </w:pPr>
      <w:r>
        <w:t>b) Incineration;</w:t>
      </w:r>
    </w:p>
    <w:p>
      <w:pPr>
        <w:pStyle w:val="ListBullet"/>
      </w:pPr>
      <w:r>
        <w:t>c) Composting;</w:t>
      </w:r>
    </w:p>
    <w:p>
      <w:pPr>
        <w:pStyle w:val="ListBullet"/>
      </w:pPr>
      <w:r>
        <w:t>d) Recycling.</w:t>
      </w:r>
    </w:p>
    <w:p>
      <w:r>
        <w:t>2. In the process of creating a sanitary landfill, the siting rules provided for in Article 26 of this decree must be observed.</w:t>
      </w:r>
    </w:p>
    <w:p>
      <w:r>
        <w:t>3. The provisions of the preceding paragraph are equally applicable to incineration and composting.</w:t>
      </w:r>
    </w:p>
    <w:p>
      <w:pPr>
        <w:pStyle w:val="Heading2"/>
      </w:pPr>
      <w:r>
        <w:t>Article 20 — Final destination</w:t>
      </w:r>
    </w:p>
    <w:p>
      <w:r>
        <w:t>1. The final destination given to waste, for adequate management purposes, should preferably be preceded by incineration or composting processes.</w:t>
      </w:r>
    </w:p>
    <w:p>
      <w:r>
        <w:t>2. In the case of a sanitary landfill, the final destination is the landfill itself.</w:t>
      </w:r>
    </w:p>
    <w:p>
      <w:pPr>
        <w:spacing w:after="80"/>
      </w:pPr>
      <w:r>
        <w:rPr>
          <w:b/>
          <w:sz w:val="24"/>
        </w:rPr>
        <w:t>Section II — Prohibited processes</w:t>
      </w:r>
    </w:p>
    <w:p>
      <w:pPr>
        <w:pStyle w:val="Heading2"/>
      </w:pPr>
      <w:r>
        <w:t>Article 21 — Prohibited processes</w:t>
      </w:r>
    </w:p>
    <w:p>
      <w:r>
        <w:t>The following waste-elimination processes are prohibited within the territory of the Democratic Republic of São Tomé and Príncipe:</w:t>
      </w:r>
    </w:p>
    <w:p>
      <w:pPr>
        <w:pStyle w:val="ListBullet"/>
      </w:pPr>
      <w:r>
        <w:t>a) Discharge into rivers, watercourses, the coastline, or in general at any point of national territory, without prior authorisation, other than at a site designated for that purpose and provided for under this decree;</w:t>
      </w:r>
    </w:p>
    <w:p>
      <w:pPr>
        <w:pStyle w:val="ListBullet"/>
      </w:pPr>
      <w:r>
        <w:t>b) Incineration at the locations referred to in the preceding point.</w:t>
      </w:r>
    </w:p>
    <w:p>
      <w:pPr>
        <w:pStyle w:val="Heading1"/>
      </w:pPr>
      <w:r>
        <w:t>Chapter V — Licensing</w:t>
      </w:r>
    </w:p>
    <w:p>
      <w:pPr>
        <w:pStyle w:val="Heading2"/>
      </w:pPr>
      <w:r>
        <w:t>Article 22 — Licensing</w:t>
      </w:r>
    </w:p>
    <w:p>
      <w:r>
        <w:t>Sites intended for the treatment and final destination of waste are treated in the same way as industrial establishments, and are therefore subject to licensing by the competent administrative body.</w:t>
      </w:r>
    </w:p>
    <w:p>
      <w:pPr>
        <w:pStyle w:val="Heading2"/>
      </w:pPr>
      <w:r>
        <w:t>Article 23 — General process</w:t>
      </w:r>
    </w:p>
    <w:p>
      <w:r>
        <w:t>The licensing process referred to in the preceding article must be instructed in accordance with the following elements:</w:t>
      </w:r>
    </w:p>
    <w:p>
      <w:pPr>
        <w:pStyle w:val="ListBullet"/>
      </w:pPr>
      <w:r>
        <w:t>a) Identification of the admissible waste, its category, types of waste and respective quantity;</w:t>
      </w:r>
    </w:p>
    <w:p>
      <w:pPr>
        <w:pStyle w:val="ListBullet"/>
      </w:pPr>
      <w:r>
        <w:t>b) Procedures for the identification, control and registration of admitted waste;</w:t>
      </w:r>
    </w:p>
    <w:p>
      <w:pPr>
        <w:pStyle w:val="ListBullet"/>
      </w:pPr>
      <w:r>
        <w:t>c) Description of the processes or technologies used;</w:t>
      </w:r>
    </w:p>
    <w:p>
      <w:pPr>
        <w:pStyle w:val="ListBullet"/>
      </w:pPr>
      <w:r>
        <w:t>d) Safety procedures to be adopted in the event of an industrial accident.</w:t>
      </w:r>
    </w:p>
    <w:p>
      <w:pPr>
        <w:pStyle w:val="Heading2"/>
      </w:pPr>
      <w:r>
        <w:t>Article 24 — Specific processes</w:t>
      </w:r>
    </w:p>
    <w:p>
      <w:r>
        <w:t>1. The licensing processes for the establishments and elimination methods indicated below must consider, at a minimum, the following elements:</w:t>
      </w:r>
    </w:p>
    <w:p>
      <w:pPr>
        <w:pStyle w:val="ListBullet"/>
      </w:pPr>
      <w:r>
        <w:t>a) Sanitary landfills: (1) geological, hydrological and hydrogeological characterisation; (2) impact studies; (3) operating means and methods; (4) control during operation; (5) use following closure and characteristics of the final layer.</w:t>
      </w:r>
    </w:p>
    <w:p>
      <w:pPr>
        <w:pStyle w:val="ListBullet"/>
      </w:pPr>
      <w:r>
        <w:t>b) Incineration stations: (1) type and capacity of the incinerator; (2) incineration temperature and residence time; (3) flow rate and incineration control system; (4) effluent characterisation and control; (5) chimney height.</w:t>
      </w:r>
    </w:p>
    <w:p>
      <w:pPr>
        <w:pStyle w:val="ListBullet"/>
      </w:pPr>
      <w:r>
        <w:t>c) Physico-chemical treatment installations: (1) physico-chemical method(s) used; (2) contaminants removed; (3) nature and composition of sludge and other effluents and their respective control.</w:t>
      </w:r>
    </w:p>
    <w:p>
      <w:r>
        <w:t>2. The procedures pertaining to each of the specific processes shall be regulated by a dedicated decree.</w:t>
      </w:r>
    </w:p>
    <w:p>
      <w:pPr>
        <w:pStyle w:val="Heading1"/>
      </w:pPr>
      <w:r>
        <w:t>Chapter VI — Sanitary Landfill</w:t>
      </w:r>
    </w:p>
    <w:p>
      <w:pPr>
        <w:pStyle w:val="Heading2"/>
      </w:pPr>
      <w:r>
        <w:t>Article 25 — Depot</w:t>
      </w:r>
    </w:p>
    <w:p>
      <w:r>
        <w:t>For the purposes of this decree, 'depot' means what is set out in Article 3(e).</w:t>
      </w:r>
    </w:p>
    <w:p>
      <w:pPr>
        <w:pStyle w:val="Heading2"/>
      </w:pPr>
      <w:r>
        <w:t>Article 26 — Siting</w:t>
      </w:r>
    </w:p>
    <w:p>
      <w:r>
        <w:t>1. Sanitary landfills must be sited more than 500 m from residential areas, agro-pastoral development areas, protected areas, as well as from water sources, riverbanks and the coastline.</w:t>
      </w:r>
    </w:p>
    <w:p>
      <w:r>
        <w:t>2. Such sites must not be located less than 200 m from the platform of national or secondary roads.</w:t>
      </w:r>
    </w:p>
    <w:p>
      <w:pPr>
        <w:pStyle w:val="Heading1"/>
      </w:pPr>
      <w:r>
        <w:t>Chapter VII — Incentives</w:t>
      </w:r>
    </w:p>
    <w:p>
      <w:pPr>
        <w:pStyle w:val="Heading2"/>
      </w:pPr>
      <w:r>
        <w:t>Article 27 — Industrial sector</w:t>
      </w:r>
    </w:p>
    <w:p>
      <w:r>
        <w:t>Without prejudice to the duties arising from the general polluter-pays principle already established under the Basic Environmental Law, benefits shall be encouraged and granted, under the framework the law shall establish, for investment in industrial activities for environmental conservation.</w:t>
      </w:r>
    </w:p>
    <w:p>
      <w:pPr>
        <w:pStyle w:val="Heading2"/>
      </w:pPr>
      <w:r>
        <w:t>Article 28 — Specific areas</w:t>
      </w:r>
    </w:p>
    <w:p>
      <w:r>
        <w:t>The provisions of the preceding article shall apply to industrial units investing in the following areas:</w:t>
      </w:r>
    </w:p>
    <w:p>
      <w:pPr>
        <w:pStyle w:val="ListBullet"/>
      </w:pPr>
      <w:r>
        <w:t>a) Priority recovery of toxic or hazardous waste;</w:t>
      </w:r>
    </w:p>
    <w:p>
      <w:pPr>
        <w:pStyle w:val="ListBullet"/>
      </w:pPr>
      <w:r>
        <w:t>b) Reuse and/or recycling of waste, where recognised as corresponding to the best techno-economic solution;</w:t>
      </w:r>
    </w:p>
    <w:p>
      <w:pPr>
        <w:pStyle w:val="ListBullet"/>
      </w:pPr>
      <w:r>
        <w:t>c) Recovery of raw materials, or energy production;</w:t>
      </w:r>
    </w:p>
    <w:p>
      <w:pPr>
        <w:pStyle w:val="ListBullet"/>
      </w:pPr>
      <w:r>
        <w:t>d) Qualitative and quantitative reduction of the most harmful waste generated by the manufacturing industry.</w:t>
      </w:r>
    </w:p>
    <w:p>
      <w:pPr>
        <w:pStyle w:val="Heading1"/>
      </w:pPr>
      <w:r>
        <w:t>Chapter VIII — Supervision</w:t>
      </w:r>
    </w:p>
    <w:p>
      <w:pPr>
        <w:pStyle w:val="Heading2"/>
      </w:pPr>
      <w:r>
        <w:t>Article 29 — Supervision Council</w:t>
      </w:r>
    </w:p>
    <w:p>
      <w:r>
        <w:t>The Supervision Council, abbreviated as 'CF', is a control body charged with overseeing scrupulous compliance with the provisions of this decree.</w:t>
      </w:r>
    </w:p>
    <w:p>
      <w:pPr>
        <w:pStyle w:val="Heading2"/>
      </w:pPr>
      <w:r>
        <w:t>Article 30 — Composition</w:t>
      </w:r>
    </w:p>
    <w:p>
      <w:r>
        <w:t>1. The CF is composed of a president, jointly appointed by the ministers responsible for the environment, health and industry, and as many members as there are District Chambers in the country, in accordance with the Law on the Political and Administrative Division, as well as a civil-society representative chosen from among the NGOs involved in environmental protection and conservation issues.</w:t>
      </w:r>
    </w:p>
    <w:p>
      <w:r>
        <w:t>2. The President of the CF has a casting vote.</w:t>
      </w:r>
    </w:p>
    <w:p>
      <w:pPr>
        <w:pStyle w:val="Heading2"/>
      </w:pPr>
      <w:r>
        <w:t>Article 31 — Competence</w:t>
      </w:r>
    </w:p>
    <w:p>
      <w:r>
        <w:t>The CF is competent to:</w:t>
      </w:r>
    </w:p>
    <w:p>
      <w:pPr>
        <w:pStyle w:val="ListBullet"/>
      </w:pPr>
      <w:r>
        <w:t>a) Carry out supervisory actions throughout the national territory and at all stages of the waste-treatment process;</w:t>
      </w:r>
    </w:p>
    <w:p>
      <w:pPr>
        <w:pStyle w:val="ListBullet"/>
      </w:pPr>
      <w:r>
        <w:t>b) Propose to the ministries responsible for the environment, health and industry the adoption of protection and conservation standards, whenever it considers this pertinent;</w:t>
      </w:r>
    </w:p>
    <w:p>
      <w:pPr>
        <w:pStyle w:val="ListBullet"/>
      </w:pPr>
      <w:r>
        <w:t>c) Propose to the District Chambers the creation of treatment stations;</w:t>
      </w:r>
    </w:p>
    <w:p>
      <w:pPr>
        <w:pStyle w:val="ListBullet"/>
      </w:pPr>
      <w:r>
        <w:t>d) Issue inspection certificates for treatment stations and depots;</w:t>
      </w:r>
    </w:p>
    <w:p>
      <w:pPr>
        <w:pStyle w:val="ListBullet"/>
      </w:pPr>
      <w:r>
        <w:t>e) Ensure the harmonisation of domestic legal standards with international conventions on the matter.</w:t>
      </w:r>
    </w:p>
    <w:p>
      <w:pPr>
        <w:pStyle w:val="Heading2"/>
      </w:pPr>
      <w:r>
        <w:t>Article 32 — Annual report</w:t>
      </w:r>
    </w:p>
    <w:p>
      <w:r>
        <w:t>The CF shall submit annually to the ministers of the environment, health and industry a report on its activities.</w:t>
      </w:r>
    </w:p>
    <w:p>
      <w:pPr>
        <w:spacing w:after="80"/>
      </w:pPr>
      <w:r>
        <w:rPr>
          <w:b/>
          <w:sz w:val="24"/>
        </w:rPr>
        <w:t>Special Supervision</w:t>
      </w:r>
    </w:p>
    <w:p>
      <w:pPr>
        <w:pStyle w:val="Heading2"/>
      </w:pPr>
      <w:r>
        <w:t>Article 33 — Protected Areas and Hunting Zones</w:t>
      </w:r>
    </w:p>
    <w:p>
      <w:r>
        <w:t>In protected areas, as well as in hunting zones, supervision is carried out by their own governing bodies, in accordance with their respective regulations.</w:t>
      </w:r>
    </w:p>
    <w:p>
      <w:pPr>
        <w:pStyle w:val="Heading1"/>
      </w:pPr>
      <w:r>
        <w:t>Chapter IX — Compliance with the Legislation</w:t>
      </w:r>
    </w:p>
    <w:p>
      <w:pPr>
        <w:pStyle w:val="Heading2"/>
      </w:pPr>
      <w:r>
        <w:t>Article 34 — Infractions</w:t>
      </w:r>
    </w:p>
    <w:p>
      <w:r>
        <w:t>The commission of acts and activities contrary to the provisions of this decree constitutes an infraction.</w:t>
      </w:r>
    </w:p>
    <w:p>
      <w:pPr>
        <w:pStyle w:val="Heading2"/>
      </w:pPr>
      <w:r>
        <w:t>Article 35 — Process</w:t>
      </w:r>
    </w:p>
    <w:p>
      <w:r>
        <w:t>1. The process for applying sanctions comprises citation, followed by notification of the offender for voluntary compliance through payment of the fine.</w:t>
      </w:r>
    </w:p>
    <w:p>
      <w:r>
        <w:t>2. If voluntary payment of the fine is not made, a copy of the citation report and of the certificate of notification is sent to the competent authorities for coercive collection.</w:t>
      </w:r>
    </w:p>
    <w:p>
      <w:r>
        <w:t>3. Where the offender is caught in the act, the citing officer shall proceed to detain them, and shall forward them, together with the citation report, to the competent authorities.</w:t>
      </w:r>
    </w:p>
    <w:p>
      <w:r>
        <w:t>4. The entities listed in the Law on the Conservation of Fauna, Flora and Protected Areas have the power of detention.</w:t>
      </w:r>
    </w:p>
    <w:p>
      <w:pPr>
        <w:pStyle w:val="Heading2"/>
      </w:pPr>
      <w:r>
        <w:t>Article 36 — Fines</w:t>
      </w:r>
    </w:p>
    <w:p>
      <w:r>
        <w:t>1. Depending on the seriousness of the harmful act or conscious omission, the sanctions are:</w:t>
      </w:r>
    </w:p>
    <w:p>
      <w:pPr>
        <w:pStyle w:val="ListBullet"/>
      </w:pPr>
      <w:r>
        <w:t>a) A fine of Db 200,000.00 to 5,000,000.00 in the case of individuals;</w:t>
      </w:r>
    </w:p>
    <w:p>
      <w:pPr>
        <w:pStyle w:val="ListBullet"/>
      </w:pPr>
      <w:r>
        <w:t>b) A fine of Db 500,000.00 to 10,000,000.00 in the case of legal entities.</w:t>
      </w:r>
    </w:p>
    <w:p>
      <w:r>
        <w:t>2. Attempt and negligence are punishable.</w:t>
      </w:r>
    </w:p>
    <w:p>
      <w:pPr>
        <w:spacing w:after="80"/>
      </w:pPr>
      <w:r>
        <w:rPr>
          <w:b/>
          <w:sz w:val="24"/>
        </w:rPr>
        <w:t>Accessory Sanctions</w:t>
      </w:r>
    </w:p>
    <w:p>
      <w:pPr>
        <w:pStyle w:val="Heading2"/>
      </w:pPr>
      <w:r>
        <w:t>Article 37 — Accessory Sanctions</w:t>
      </w:r>
    </w:p>
    <w:p>
      <w:r>
        <w:t>Where the gravity of the infraction so justifies, the following sanctions may be applied as accessory measures:</w:t>
      </w:r>
    </w:p>
    <w:p>
      <w:pPr>
        <w:pStyle w:val="ListBullet"/>
      </w:pPr>
      <w:r>
        <w:t>a) Seizure of objects belonging to the agent that were used as instruments in the commission of the infraction;</w:t>
      </w:r>
    </w:p>
    <w:p>
      <w:pPr>
        <w:pStyle w:val="ListBullet"/>
      </w:pPr>
      <w:r>
        <w:t>b) Loss of entitlement to subsidies granted by public entities or services;</w:t>
      </w:r>
    </w:p>
    <w:p>
      <w:pPr>
        <w:pStyle w:val="ListBullet"/>
      </w:pPr>
      <w:r>
        <w:t>c) Suspension of the right to carry on the activity for a maximum period of two years.</w:t>
      </w:r>
    </w:p>
    <w:p>
      <w:pPr>
        <w:pStyle w:val="Heading2"/>
      </w:pPr>
      <w:r>
        <w:t>Article 38 — Civil Liability</w:t>
      </w:r>
    </w:p>
    <w:p>
      <w:r>
        <w:t>Independently of the sanctions to which agents are subject for infractions committed under this decree, and with a view to repairing damage caused to the environment, the administration may bring a civil indemnity action for losses and damages, seeking restitution and/or restoration of the affected area, in cases where this is possible.</w:t>
      </w:r>
    </w:p>
    <w:p>
      <w:pPr>
        <w:pStyle w:val="Heading2"/>
      </w:pPr>
      <w:r>
        <w:t>Article 39 — Destination of Fines</w:t>
      </w:r>
    </w:p>
    <w:p>
      <w:r>
        <w:t>1. Funds collected from fines imposed on offenders revert in favour of the District Chamber with jurisdiction over the area where the infraction was recorded, and of the agent or group of agents who imposed the fine, in the form of an emolument, as well as in favour of the Fund for the Environment referred to in the Basic Environmental Law.</w:t>
      </w:r>
    </w:p>
    <w:p>
      <w:r>
        <w:t>2. The manner of distribution of the respective shares shall be defined by order of the minister responsible for the environment.</w:t>
      </w:r>
    </w:p>
    <w:p>
      <w:pPr>
        <w:pStyle w:val="Heading1"/>
      </w:pPr>
      <w:r>
        <w:t>Chapter X — Final and Transitional Provisions</w:t>
      </w:r>
    </w:p>
    <w:p>
      <w:pPr>
        <w:pStyle w:val="Heading2"/>
      </w:pPr>
      <w:r>
        <w:t>Article 40 — Supervision Council</w:t>
      </w:r>
    </w:p>
    <w:p>
      <w:r>
        <w:t>For as long as the Supervision Council has not been created, the ministry responsible for the environment shall exercise the functions assigned to it under the terms of this decree.</w:t>
      </w:r>
    </w:p>
    <w:p>
      <w:pPr>
        <w:pStyle w:val="Heading2"/>
      </w:pPr>
      <w:r>
        <w:t>Article 41 — Repeal</w:t>
      </w:r>
    </w:p>
    <w:p>
      <w:r>
        <w:t>All provisions contrary to this decree are hereby repealed, in particular Articles 50, 51 and 52 of Decree-Law No. 59/80.</w:t>
      </w:r>
    </w:p>
    <w:p>
      <w:pPr>
        <w:pStyle w:val="Heading2"/>
      </w:pPr>
      <w:r>
        <w:t>Article 42 — Doubts and Omissions</w:t>
      </w:r>
    </w:p>
    <w:p>
      <w:r>
        <w:t>1. Doubts and omitted cases arising from the application of this decree shall be resolved and filled by joint order of the ministers responsible for the environment and health, having heard the presidents of the District Chambers.</w:t>
      </w:r>
    </w:p>
    <w:p>
      <w:r>
        <w:t>2. Where such doubts or omissions are of such a nature as to require the involvement of the official responsible for a government portfolio other than those indicated in the preceding paragraph, that official's participation is indispensable.</w:t>
      </w:r>
    </w:p>
    <w:p>
      <w:pPr>
        <w:pStyle w:val="Heading2"/>
      </w:pPr>
      <w:r>
        <w:t>Article 43 — Entry into Force</w:t>
      </w:r>
    </w:p>
    <w:p>
      <w:r>
        <w:t>This decree shall enter into force 60 days after the date of its publication.</w:t>
      </w:r>
    </w:p>
    <w:p/>
    <w:p>
      <w:r>
        <w:t>Seen and approved by the Council of Ministers in São Tomé, on 25 February 1999. — The Prime Minister and Head of Government, Guilherme Posser da Costa. — The Minister of Justice and Parliamentary Affairs, Paulo Jorge Rodrigues do Espírito Santo. — The Minister of Foreign Affairs and Communities, Alberto Paulino. — The Minister of Defence, João Quaresma Viegas Bexigas. — For the Minister of Planning, Finance and Cooperation, Paulo Jorge Rodrigues do Espírito Santo. — The Minister of Economy, Maria das Neves Ceita Batista de Sousa. — The Minister of Education and Culture, Peregrino do Sacramento da Costa. — For the Minister of Infrastructure, Natural Resources and the Environment, Maria das Neves Ceita Batista de Sousa. — The Minister of Health, António Soares Marques de Lima. — The Minister of Internal Administration and Territory, Manuel da Cruz Marçal Lima.</w:t>
      </w:r>
    </w:p>
    <w:p/>
    <w:p>
      <w:r>
        <w:t>Promulgated on 3 August 1999.</w:t>
      </w:r>
    </w:p>
    <w:p>
      <w:r>
        <w:t>Let it be published.</w:t>
      </w:r>
    </w:p>
    <w:p>
      <w:r>
        <w:t>The President of the Republic, MIGUEL ANJOS DA CUNHA LISBOA TROVOADA.</w:t>
      </w:r>
    </w:p>
    <w:p>
      <w:r>
        <w:br w:type="page"/>
      </w:r>
    </w:p>
    <w:p>
      <w:pPr>
        <w:pStyle w:val="Heading1"/>
      </w:pPr>
      <w:r>
        <w:t>Annex I — Toxic and Hazardous Components</w:t>
      </w:r>
    </w:p>
    <w:p>
      <w:pPr>
        <w:pStyle w:val="ListBullet"/>
      </w:pPr>
      <w:r>
        <w:t>1. Arsenic and arsenic compounds.</w:t>
      </w:r>
    </w:p>
    <w:p>
      <w:pPr>
        <w:pStyle w:val="ListBullet"/>
      </w:pPr>
      <w:r>
        <w:t>2. Mercury and mercury compounds.</w:t>
      </w:r>
    </w:p>
    <w:p>
      <w:pPr>
        <w:pStyle w:val="ListBullet"/>
      </w:pPr>
      <w:r>
        <w:t>3. Cadmium and cadmium compounds.</w:t>
      </w:r>
    </w:p>
    <w:p>
      <w:pPr>
        <w:pStyle w:val="ListBullet"/>
      </w:pPr>
      <w:r>
        <w:t>4. Thallium and thallium compounds.</w:t>
      </w:r>
    </w:p>
    <w:p>
      <w:pPr>
        <w:pStyle w:val="ListBullet"/>
      </w:pPr>
      <w:r>
        <w:t>5. Beryllium and beryllium compounds.</w:t>
      </w:r>
    </w:p>
    <w:p>
      <w:pPr>
        <w:pStyle w:val="ListBullet"/>
      </w:pPr>
      <w:r>
        <w:t>6. Hexavalent chromium compounds.</w:t>
      </w:r>
    </w:p>
    <w:p>
      <w:pPr>
        <w:pStyle w:val="ListBullet"/>
      </w:pPr>
      <w:r>
        <w:t>7. Lead and lead compounds.</w:t>
      </w:r>
    </w:p>
    <w:p>
      <w:pPr>
        <w:pStyle w:val="ListBullet"/>
      </w:pPr>
      <w:r>
        <w:t>8. Antimony and antimony compounds.</w:t>
      </w:r>
    </w:p>
    <w:p>
      <w:pPr>
        <w:pStyle w:val="ListBullet"/>
      </w:pPr>
      <w:r>
        <w:t>9. Organic and inorganic cyanides.</w:t>
      </w:r>
    </w:p>
    <w:p>
      <w:pPr>
        <w:pStyle w:val="ListBullet"/>
      </w:pPr>
      <w:r>
        <w:t>10. Phenols and phenolic compounds.</w:t>
      </w:r>
    </w:p>
    <w:p>
      <w:pPr>
        <w:pStyle w:val="ListBullet"/>
      </w:pPr>
      <w:r>
        <w:t>11. Isocyanates.</w:t>
      </w:r>
    </w:p>
    <w:p>
      <w:pPr>
        <w:pStyle w:val="ListBullet"/>
      </w:pPr>
      <w:r>
        <w:t>12. Organohalogen compounds, excluding inert polymerised substances.</w:t>
      </w:r>
    </w:p>
    <w:p>
      <w:pPr>
        <w:pStyle w:val="ListBullet"/>
      </w:pPr>
      <w:r>
        <w:t>13. Chlorinated solvents.</w:t>
      </w:r>
    </w:p>
    <w:p>
      <w:pPr>
        <w:pStyle w:val="ListBullet"/>
      </w:pPr>
      <w:r>
        <w:t>14. Organic solvents.</w:t>
      </w:r>
    </w:p>
    <w:p>
      <w:pPr>
        <w:pStyle w:val="ListBullet"/>
      </w:pPr>
      <w:r>
        <w:t>15. Biocides and phytopharmaceutical substances.</w:t>
      </w:r>
    </w:p>
    <w:p>
      <w:pPr>
        <w:pStyle w:val="ListBullet"/>
      </w:pPr>
      <w:r>
        <w:t>16. Tar-based products from refining operations, and residues from distillation operations.</w:t>
      </w:r>
    </w:p>
    <w:p>
      <w:pPr>
        <w:pStyle w:val="ListBullet"/>
      </w:pPr>
      <w:r>
        <w:t>17. Pharmaceutical compounds.</w:t>
      </w:r>
    </w:p>
    <w:p>
      <w:pPr>
        <w:pStyle w:val="ListBullet"/>
      </w:pPr>
      <w:r>
        <w:t>18. Peroxides, chlorates, perchlorates and azides.</w:t>
      </w:r>
    </w:p>
    <w:p>
      <w:pPr>
        <w:pStyle w:val="ListBullet"/>
      </w:pPr>
      <w:r>
        <w:t>19. Ethers.</w:t>
      </w:r>
    </w:p>
    <w:p>
      <w:pPr>
        <w:pStyle w:val="ListBullet"/>
      </w:pPr>
      <w:r>
        <w:t>20. Unidentified and/or new laboratory chemical substances whose effects on the environment are unknown.</w:t>
      </w:r>
    </w:p>
    <w:p>
      <w:pPr>
        <w:pStyle w:val="ListBullet"/>
      </w:pPr>
      <w:r>
        <w:t>21. Asbestos (dust and fibres).</w:t>
      </w:r>
    </w:p>
    <w:p>
      <w:pPr>
        <w:pStyle w:val="ListBullet"/>
      </w:pPr>
      <w:r>
        <w:t>22. Selenium and selenium compounds.</w:t>
      </w:r>
    </w:p>
    <w:p>
      <w:pPr>
        <w:pStyle w:val="ListBullet"/>
      </w:pPr>
      <w:r>
        <w:t>23. Tellurium and tellurium compounds.</w:t>
      </w:r>
    </w:p>
    <w:p>
      <w:pPr>
        <w:pStyle w:val="ListBullet"/>
      </w:pPr>
      <w:r>
        <w:t>24. Polycyclic aromatic compounds (carcinogenic effects).</w:t>
      </w:r>
    </w:p>
    <w:p>
      <w:pPr>
        <w:pStyle w:val="ListBullet"/>
      </w:pPr>
      <w:r>
        <w:t>25. Metal carbonyls.</w:t>
      </w:r>
    </w:p>
    <w:p>
      <w:pPr>
        <w:pStyle w:val="ListBullet"/>
      </w:pPr>
      <w:r>
        <w:t>26. Soluble copper compounds.</w:t>
      </w:r>
    </w:p>
    <w:p>
      <w:pPr>
        <w:pStyle w:val="ListBullet"/>
      </w:pPr>
      <w:r>
        <w:t>27. Acidic and basic substances used in metal surface treatment.</w:t>
      </w:r>
    </w:p>
    <w:p>
      <w:r>
        <w:br w:type="page"/>
      </w:r>
    </w:p>
    <w:p>
      <w:pPr>
        <w:pStyle w:val="Heading1"/>
      </w:pPr>
      <w:r>
        <w:t>Annex II — Solid Waste Report ('Mapa de Resíduos Sólidos')</w:t>
      </w:r>
    </w:p>
    <w:p>
      <w:r>
        <w:rPr>
          <w:i/>
          <w:sz w:val="19"/>
        </w:rPr>
        <w:t>(This Annex is a standardised reporting template that District Chambers, companies and health units must complete under Article 9. It explicitly requires 'Plástico' (Plastic) to be reported as a distinct waste-composition and recycled-material category.)</w:t>
      </w:r>
    </w:p>
    <w:p>
      <w:r>
        <w:t>District: ___________   Year: ___________</w:t>
      </w:r>
    </w:p>
    <w:p>
      <w:r>
        <w:t>1. Quantities of waste collected</w:t>
      </w:r>
    </w:p>
    <w:p>
      <w:r>
        <w:t>2. Population served by the collection</w:t>
      </w:r>
    </w:p>
    <w:p>
      <w:r>
        <w:t>3. Population resident in the District</w:t>
      </w:r>
    </w:p>
    <w:p>
      <w:r>
        <w:t>4. Treatment or final destination given to the waste collected — by location and annual quantities:</w:t>
      </w:r>
    </w:p>
    <w:p>
      <w:pPr>
        <w:pStyle w:val="ListBullet"/>
      </w:pPr>
      <w:r>
        <w:t>Sanitary landfill</w:t>
      </w:r>
    </w:p>
    <w:p>
      <w:pPr>
        <w:pStyle w:val="ListBullet"/>
      </w:pPr>
      <w:r>
        <w:t>Composting</w:t>
      </w:r>
    </w:p>
    <w:p>
      <w:pPr>
        <w:pStyle w:val="ListBullet"/>
      </w:pPr>
      <w:r>
        <w:t>Incineration</w:t>
      </w:r>
    </w:p>
    <w:p>
      <w:pPr>
        <w:pStyle w:val="ListBullet"/>
      </w:pPr>
      <w:r>
        <w:t>Other</w:t>
      </w:r>
    </w:p>
    <w:p>
      <w:r>
        <w:t>6. Average annual specific weight of the waste collected, in kg/m³</w:t>
      </w:r>
    </w:p>
    <w:p>
      <w:r>
        <w:t>6 [sic, numbering as in source]. Average annual physical composition of the waste collected, as a percentage of its total weight, in relation to the components listed below:</w:t>
      </w:r>
    </w:p>
    <w:p>
      <w:pPr>
        <w:pStyle w:val="ListBullet"/>
      </w:pPr>
      <w:r>
        <w:t>Metals — Ferrous</w:t>
      </w:r>
    </w:p>
    <w:p>
      <w:pPr>
        <w:pStyle w:val="ListBullet"/>
      </w:pPr>
      <w:r>
        <w:t>Metals — Non-ferrous</w:t>
      </w:r>
    </w:p>
    <w:p>
      <w:pPr>
        <w:pStyle w:val="ListBullet"/>
      </w:pPr>
      <w:r>
        <w:t>Paper</w:t>
      </w:r>
    </w:p>
    <w:p>
      <w:pPr>
        <w:pStyle w:val="ListBullet"/>
      </w:pPr>
      <w:r>
        <w:t>Glass</w:t>
      </w:r>
    </w:p>
    <w:p>
      <w:pPr>
        <w:pStyle w:val="ListBullet"/>
      </w:pPr>
      <w:r>
        <w:t>Plastic</w:t>
      </w:r>
    </w:p>
    <w:p>
      <w:pPr>
        <w:pStyle w:val="ListBullet"/>
      </w:pPr>
      <w:r>
        <w:t>Textile materials</w:t>
      </w:r>
    </w:p>
    <w:p>
      <w:pPr>
        <w:pStyle w:val="ListBullet"/>
      </w:pPr>
      <w:r>
        <w:t>Cardboard</w:t>
      </w:r>
    </w:p>
    <w:p>
      <w:pPr>
        <w:pStyle w:val="ListBullet"/>
      </w:pPr>
      <w:r>
        <w:t>Fermentable materials</w:t>
      </w:r>
    </w:p>
    <w:p>
      <w:pPr>
        <w:pStyle w:val="ListBullet"/>
      </w:pPr>
      <w:r>
        <w:t>Fines (&lt;20 mm)</w:t>
      </w:r>
    </w:p>
    <w:p>
      <w:pPr>
        <w:pStyle w:val="ListBullet"/>
      </w:pPr>
      <w:r>
        <w:t>Others</w:t>
      </w:r>
    </w:p>
    <w:p>
      <w:pPr>
        <w:pStyle w:val="ListBullet"/>
      </w:pPr>
      <w:r>
        <w:t>Total (100%)</w:t>
      </w:r>
    </w:p>
    <w:p>
      <w:r>
        <w:t>7. Quantities of materials recycled from solid waste:</w:t>
      </w:r>
    </w:p>
    <w:p>
      <w:pPr>
        <w:pStyle w:val="ListBullet"/>
      </w:pPr>
      <w:r>
        <w:t>Paper</w:t>
      </w:r>
    </w:p>
    <w:p>
      <w:pPr>
        <w:pStyle w:val="ListBullet"/>
      </w:pPr>
      <w:r>
        <w:t>Glass</w:t>
      </w:r>
    </w:p>
    <w:p>
      <w:pPr>
        <w:pStyle w:val="ListBullet"/>
      </w:pPr>
      <w:r>
        <w:t>Plastic</w:t>
      </w:r>
    </w:p>
    <w:p>
      <w:pPr>
        <w:pStyle w:val="ListBullet"/>
      </w:pPr>
      <w:r>
        <w:t>Metals — Ferrous</w:t>
      </w:r>
    </w:p>
    <w:p>
      <w:pPr>
        <w:pStyle w:val="ListBullet"/>
      </w:pPr>
      <w:r>
        <w:t>Metals — Non-ferrous</w:t>
      </w:r>
    </w:p>
    <w:p>
      <w:pPr>
        <w:pStyle w:val="ListBullet"/>
      </w:pPr>
      <w:r>
        <w:t>Aluminium</w:t>
      </w:r>
    </w:p>
    <w:p>
      <w:pPr>
        <w:pStyle w:val="ListBullet"/>
      </w:pPr>
      <w:r>
        <w:t>Cardboard</w:t>
      </w:r>
    </w:p>
    <w:p>
      <w:pPr>
        <w:pStyle w:val="ListBullet"/>
      </w:pPr>
      <w:r>
        <w:t>Others</w:t>
      </w:r>
    </w:p>
    <w:p>
      <w:r>
        <w:rPr>
          <w:i/>
          <w:sz w:val="19"/>
        </w:rPr>
        <w:t>(For each recycled-material category, the form requests the collection method — door-to-door or selective collection — and the destination — sanitary landfill, composting, or other.)</w:t>
      </w:r>
    </w:p>
    <w:p>
      <w:r>
        <w:t>8. Where the District Chamber also collects and/or disposes of industrial and hospital waste, in accordance with Article 16 of this Regulation, indicate the characteristics of such waste, the quantities involved, and any facts considered relevant to a better understanding of the situation.</w:t>
      </w:r>
    </w:p>
    <w:p>
      <w:r>
        <w:rPr>
          <w:i/>
          <w:sz w:val="19"/>
        </w:rPr>
        <w:t>(Note: the cross-reference to "Article 16" appears in the source form as printed; based on the decree's structure, this is most likely intended as a reference to Article 6 (Industrial and Commercial Waste) and/or Article 7 (Hospital Waste) rather than Article 16 as reconstructed above, but is preserved here as it appears in the source.)</w:t>
      </w:r>
    </w:p>
    <w:p>
      <w:r>
        <w:br w:type="page"/>
      </w:r>
    </w:p>
    <w:p>
      <w:pPr>
        <w:spacing w:after="120"/>
        <w:jc w:val="center"/>
      </w:pPr>
      <w:r>
        <w:rPr>
          <w:b/>
          <w:sz w:val="26"/>
        </w:rPr>
        <w:t>Translator's Note</w:t>
      </w:r>
    </w:p>
    <w:p>
      <w:r>
        <w:t>This English translation was prepared from the only full-text copy of Decreto n.º 36/1999 — Decreto Sobre Resíduos located online (FAOLEX, https://faolex.fao.org/docs/pdf/sao23426.pdf), approved by the Council of Ministers on 25 February 1999 (the same Council of Ministers session as the companion EIA Decree, No. 37/1999) and promulgated by the President of the Republic on 3 August 1999; published 30 November 1999. No subsequent amendment to this Decree has been identified. The source PDF is an 8-page, low-resolution scan with substantial optical character recognition (OCR) errors. Most provisions were reconstructed with high confidence from legible text fragments, article headings, internal cross-references, and standard legal-drafting conventions used elsewhere in this decree and in the companion EIA Decree; a secondary official summary of the decree's content (Ministry of Environment legal-framework index) was used to corroborate the decree's overall scope and structure. However, Articles 14 through 21 — especially Articles 15 through 17, on collection and transport standards — remain the most heavily degraded portions of the source scan, and the translation of those provisions should be treated as a best-effort reconstruction rather than a verified rendering. This is a working translation intended to support policy analysis; it is not an official or certified legal translation. Verification against the official Diário da República text (Série I, No. 12 of 1999) is strongly recommended before this translation is relied upon for any purpose beyond policy screening.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