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Tourism Concessions in Protected Areas in Mozambique</w:t>
      </w:r>
    </w:p>
    <w:p>
      <w:pPr>
        <w:jc w:val="center"/>
      </w:pPr>
      <w:r>
        <w:t>Manual for Operators and Concessionaires — April 2012</w:t>
      </w:r>
    </w:p>
    <w:p>
      <w:pPr>
        <w:jc w:val="center"/>
      </w:pPr>
      <w:r>
        <w:rPr>
          <w:i/>
        </w:rPr>
        <w:t>English title of: Concessões de Turismo nas Áreas Protegidas em Moçambique: Manual para Operadores e Concessionários (2012)</w:t>
        <w:br/>
      </w:r>
      <w:r>
        <w:t>Translated for 4P Index policy analysis — 2026-06-23</w:t>
        <w:br/>
      </w:r>
      <w:r>
        <w:t>Source: https://www.anac.gov.mz/wp-content/uploads/2017/08/Manual-Concessoes-para-Sector-Privado_2012.pdf</w:t>
      </w:r>
    </w:p>
    <w:p>
      <w:pPr>
        <w:pStyle w:val="Heading1"/>
      </w:pPr>
      <w:r>
        <w:t>Publication Information</w:t>
      </w:r>
    </w:p>
    <w:p>
      <w:r>
        <w:t>Program: Mozambique Support Program for Economic and Enterprise Development (SPEED), USAID/Mozambique.</w:t>
        <w:br/>
        <w:t>Contractor: DAI and Nathan Associates.</w:t>
        <w:br/>
        <w:t>Publication date: 23 April 2012 (SPEED-Reports-2012-005).</w:t>
        <w:br/>
        <w:t>Authors: Rita Casimiro and Dr Anna Spenceley.</w:t>
        <w:br/>
        <w:br/>
        <w:t>The manual guides private operators through tourism concession processes in Mozambique's protected areas, covering context, stakeholders, procurement, contracts, environmental/social/economic best practice, and annexes with templates and contacts.</w:t>
      </w:r>
    </w:p>
    <w:p>
      <w:pPr>
        <w:pStyle w:val="Heading1"/>
      </w:pPr>
      <w:r>
        <w:t>Section 2.1.5 — Legal and Environmental Framework</w:t>
      </w:r>
    </w:p>
    <w:p>
      <w:r>
        <w:t>Tourism projects in protected areas are subject to the Environmental Law (Law 20/97) and Environmental Impact Assessment Regulation (Decree 45/2004) requiring a fully fledged EIA and management plan.</w:t>
        <w:br/>
        <w:br/>
        <w:t>The manual also references Decree 45/2006 on preventing pollution and protecting the coastal and marine environment for activities in coastal protected areas (e.g. Maputo Special Reserve, Quirimbas, Lake Niassa).</w:t>
        <w:br/>
        <w:br/>
        <w:t>MITUR/DNAC (now ANAC) manages protected areas and grants tourism concessions.</w:t>
      </w:r>
    </w:p>
    <w:p>
      <w:pPr>
        <w:pStyle w:val="Heading1"/>
      </w:pPr>
      <w:r>
        <w:t>Section 5.2 — Environmental Best Practice (plastic-relevant)</w:t>
      </w:r>
    </w:p>
    <w:p>
      <w:pPr>
        <w:pStyle w:val="Heading2"/>
      </w:pPr>
      <w:r>
        <w:t>5.2.2 Development stage</w:t>
      </w:r>
    </w:p>
    <w:p>
      <w:r>
        <w:t>Concessionaires must develop a comprehensive environmental management plan (EMP) with waste management, water management and energy management plans to minimise waste production.</w:t>
        <w:br/>
        <w:br/>
        <w:t>Larger operations may adopt an EMS (e.g. ISO 14001) auditing packaging resources, food consumption and organic/inorganic waste production.</w:t>
        <w:br/>
        <w:br/>
        <w:t>Sustainable design includes careful siting of waste disposal areas in relation to the EIA, minimising construction material wastage, and preserving vegetation.</w:t>
      </w:r>
    </w:p>
    <w:p>
      <w:pPr>
        <w:pStyle w:val="Heading2"/>
      </w:pPr>
      <w:r>
        <w:t>5.2.3 Operations stage — Waste</w:t>
      </w:r>
    </w:p>
    <w:p>
      <w:r>
        <w:t>Main operational environmental issues: energy, water, waste and biodiversity.</w:t>
        <w:br/>
        <w:br/>
        <w:t>Waste management guidance:</w:t>
        <w:br/>
        <w:t>• Reduce packaging through bulk purchasing and supplier engagement;</w:t>
        <w:br/>
        <w:t>• Use wildlife-proof bins for food waste in wildlife areas;</w:t>
        <w:br/>
        <w:t>• Use refillable dispensers instead of individual soap tablets;</w:t>
        <w:br/>
        <w:t>• Use refillable bottles rather than disposable plastic water bottles;</w:t>
        <w:br/>
        <w:t>• Recycle paper and printer cartridges;</w:t>
        <w:br/>
        <w:t>• Compost garden waste; worm farms for vegetable waste;</w:t>
        <w:br/>
        <w:t>• Educate visitors: 'pack it in, pack it out' — no littering in conservation areas;</w:t>
        <w:br/>
        <w:t>• Follow PA waste-management guidance in concession contracts.</w:t>
        <w:br/>
        <w:br/>
        <w:t>Wastewater: reed-bed systems and recycling for irrigation/toilets referenced.</w:t>
      </w:r>
    </w:p>
    <w:p>
      <w:pPr>
        <w:pStyle w:val="Heading2"/>
      </w:pPr>
      <w:r>
        <w:t>Business plan / EIA template (Table 4)</w:t>
      </w:r>
    </w:p>
    <w:p>
      <w:r>
        <w:t>Feasibility study environmental impact section requires consideration of landscape, soil, air, water, biodiversity, waste (solid and liquid), energy, access and infrastructure footprint.</w:t>
      </w:r>
    </w:p>
    <w:p>
      <w:pPr>
        <w:pStyle w:val="Heading1"/>
      </w:pPr>
      <w:r>
        <w:t>Section 5.3.2 — Economic Best Practice (waste-relevant)</w:t>
      </w:r>
    </w:p>
    <w:p>
      <w:r>
        <w:t>Local procurement during construction and operations should include garbage removal among services sourced from local communities, alongside transport, furniture, uniforms and consumables — supporting waste-service delivery in remote protected areas.</w:t>
      </w:r>
    </w:p>
    <w:p>
      <w:pPr>
        <w:pStyle w:val="Heading1"/>
      </w:pPr>
      <w:r>
        <w:t>Note on Plastics and Solid Waste</w:t>
      </w:r>
    </w:p>
    <w:p>
      <w:r>
        <w:t>This manual is voluntary operational guidance, not binding legislation.</w:t>
        <w:br/>
        <w:br/>
        <w:t>Explicit plastic reference: disposable plastic water bottles — operators advised to use refillable bottles instead.</w:t>
        <w:br/>
        <w:br/>
        <w:t>Other waste/plastic-relevant content:</w:t>
        <w:br/>
        <w:t>— EMP must include waste-management plans;</w:t>
        <w:br/>
        <w:t>— EMS covers packaging resources and inorganic waste;</w:t>
        <w:br/>
        <w:t>— Waste disposal area siting in EIA;</w:t>
        <w:br/>
        <w:t>— Packaging reduction through bulk purchasing;</w:t>
        <w:br/>
        <w:t>— 'Pack it in, pack it out' litter policy for tourists;</w:t>
        <w:br/>
        <w:t>— Garbage removal in local procurement;</w:t>
        <w:br/>
        <w:t>— Solid and liquid waste in business-plan EIA template;</w:t>
        <w:br/>
        <w:t>— Reference to Decree 45/2006 coastal/marine pollution regulation.</w:t>
        <w:br/>
        <w:br/>
        <w:t>No quantified national plastic-reduction targets. Binding waste rules for operators remain in concession contracts, EIA licences, Decree 94/2014, Decree 97/2020 and PA management plans.</w:t>
      </w:r>
    </w:p>
    <w:p>
      <w:r>
        <w:br w:type="page"/>
      </w:r>
    </w:p>
    <w:p>
      <w:pPr>
        <w:pStyle w:val="Heading1"/>
      </w:pPr>
      <w:r>
        <w:t>4P Index Coding Summary</w:t>
      </w:r>
    </w:p>
    <w:p>
      <w:r>
        <w:t>Policy: Concessões de Turismo nas Áreas Protegidas em Moçambique: Manual para Operadores e Concessionários (2012)</w:t>
        <w:br/>
        <w:t>Instruments coded: 6</w:t>
        <w:br/>
        <w:t>E — policy_target: 0</w:t>
        <w:br/>
        <w:t>K — policy_circularity: 0.5 (consumption, disposal, environmental leakage)</w:t>
        <w:br/>
        <w:t>G — policy_type: 0.25 (guidance manual)</w:t>
        <w:br/>
        <w:t>See: 4P_Index_Mozambique_ANAC_Tourism_Concessions_Manual_2012.xlsx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