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009-2019-MINAM – Special Regime for the Management and Handling of Waste Electrical and Electronic Equipment (WEEE)</w:t>
        <w:br/>
        <w:t>Decreto Supremo N.° 009-2019-MINAM – Régimen Especial de Gestión y Manejo de Residuos de Aparatos Eléctricos y Electrónicos (RAEE)</w:t>
      </w:r>
    </w:p>
    <w:p>
      <w:pPr>
        <w:jc w:val="center"/>
      </w:pPr>
      <w:r>
        <w:t>Signed: 7 November 2019 | Published: 8 November 2019 (El Peruano)</w:t>
        <w:br/>
        <w:t>2021 amendment: DS No. 035-2021-MINAM (complementary provisions)</w:t>
        <w:br/>
        <w:t>Source: https://www.gob.pe/institucion/minam/normas-legales/354138-009-2019-minam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009-2019-MINAM on the special WEEE/RAEE management regime under extended producer responsibility.</w:t>
      </w:r>
    </w:p>
    <w:p>
      <w:pPr>
        <w:pStyle w:val="Heading2"/>
      </w:pPr>
      <w:r>
        <w:t>Supreme Decree Art. 1 — Approval</w:t>
      </w:r>
    </w:p>
    <w:p>
      <w:r>
        <w:rPr>
          <w:b/>
        </w:rPr>
        <w:t>Apruébase el Régimen Especial de Gestión y Manejo de Residuos de Aparatos Eléctricos y Electrónicos... treinta y cinco (35) Artículos... y dos (2) Anexos.</w:t>
      </w:r>
    </w:p>
    <w:p>
      <w:pPr>
        <w:spacing w:after="160"/>
      </w:pPr>
      <w:r>
        <w:t>The Special Regime for WEEE Management is approved... thirty-five (35) Articles... and two (2) Annexes.</w:t>
      </w:r>
    </w:p>
    <w:p>
      <w:pPr>
        <w:pStyle w:val="Heading2"/>
      </w:pPr>
      <w:r>
        <w:t>Regulation Arts. 1–2 — Purpose</w:t>
      </w:r>
    </w:p>
    <w:p>
      <w:r>
        <w:rPr>
          <w:b/>
        </w:rPr>
        <w:t>Establecer un régimen especial para la gestión y manejo de los RAEE... primera finalidad su valorización y como última, la disposición final.</w:t>
      </w:r>
    </w:p>
    <w:p>
      <w:pPr>
        <w:spacing w:after="160"/>
      </w:pPr>
      <w:r>
        <w:t>Establish a special regime for WEEE management... first purpose valorization and last, final disposal.</w:t>
      </w:r>
    </w:p>
    <w:p>
      <w:pPr>
        <w:pStyle w:val="Heading2"/>
      </w:pPr>
      <w:r>
        <w:t>Regulation Art. 9–10 — Extended producer responsibility</w:t>
      </w:r>
    </w:p>
    <w:p>
      <w:r>
        <w:rPr>
          <w:b/>
        </w:rPr>
        <w:t>El productor tiene responsabilidad extendida sobre el AEE durante todo su ciclo de vida... diseñar, implementar y administrar sistemas de manejo... recibir sin costo los RAEE.</w:t>
      </w:r>
    </w:p>
    <w:p>
      <w:pPr>
        <w:spacing w:after="160"/>
      </w:pPr>
      <w:r>
        <w:t>The producer has extended responsibility over EEE throughout its lifecycle... design, implement and administer management systems... receive WEEE free of charge.</w:t>
      </w:r>
    </w:p>
    <w:p>
      <w:pPr>
        <w:pStyle w:val="Heading2"/>
      </w:pPr>
      <w:r>
        <w:t>Regulation Art. 18 — Collection targets</w:t>
      </w:r>
    </w:p>
    <w:p>
      <w:r>
        <w:rPr>
          <w:b/>
        </w:rPr>
        <w:t>Metas mínimas 2020–2024: categorías 3–4 de 16% a 28%; categorías 1–2 de 4% a 16% de la línea base en peso.</w:t>
      </w:r>
    </w:p>
    <w:p>
      <w:pPr>
        <w:spacing w:after="160"/>
      </w:pPr>
      <w:r>
        <w:t>Minimum 2020–2024 targets: categories 3–4 from 16% to 28%; categories 1–2 from 4% to 16% of weight baseline.</w:t>
      </w:r>
    </w:p>
    <w:p>
      <w:pPr>
        <w:pStyle w:val="Heading2"/>
      </w:pPr>
      <w:r>
        <w:t>Regulation Art. 23 — Retail collection points</w:t>
      </w:r>
    </w:p>
    <w:p>
      <w:r>
        <w:rPr>
          <w:b/>
        </w:rPr>
        <w:t>Establecer de manera gratuita... puntos de acopio de RAEE... entregar los RAEE acopiados a los sistemas de manejo.</w:t>
      </w:r>
    </w:p>
    <w:p>
      <w:pPr>
        <w:spacing w:after="160"/>
      </w:pPr>
      <w:r>
        <w:t>Establish free of charge... WEEE drop-off points... deliver collected WEEE to management systems.</w:t>
      </w:r>
    </w:p>
    <w:p>
      <w:pPr>
        <w:pStyle w:val="Heading2"/>
      </w:pPr>
      <w:r>
        <w:t>Regulation Art. 27–28 — Valorization operators</w:t>
      </w:r>
    </w:p>
    <w:p>
      <w:r>
        <w:rPr>
          <w:b/>
        </w:rPr>
        <w:t>Recolectar, transportar y valorizar (desmantelar/desensamblar) los RAEE... habilitar materiales a partir de RAEE para su aprovechamiento.</w:t>
      </w:r>
    </w:p>
    <w:p>
      <w:pPr>
        <w:spacing w:after="160"/>
      </w:pPr>
      <w:r>
        <w:t>Collect, transport and valorize (dismantle/disassemble) WEEE... enable materials from WEEE for recovery.</w:t>
      </w:r>
    </w:p>
    <w:p>
      <w:pPr>
        <w:pStyle w:val="Heading2"/>
      </w:pPr>
      <w:r>
        <w:t>Regulation Art. 35 — Enforcement</w:t>
      </w:r>
    </w:p>
    <w:p>
      <w:r>
        <w:rPr>
          <w:b/>
        </w:rPr>
        <w:t>El OEFA ejerce la fiscalización ambiental y tipifica... infracciones y establece las sanciones correspondientes.</w:t>
      </w:r>
    </w:p>
    <w:p>
      <w:pPr>
        <w:spacing w:after="160"/>
      </w:pPr>
      <w:r>
        <w:t>OEFA carries out environmental enforcement and typifies... infractions and establishes corresponding sanctions.</w:t>
      </w:r>
    </w:p>
    <w:p/>
    <w:p>
      <w:pPr>
        <w:jc w:val="center"/>
      </w:pPr>
      <w:r>
        <w:t>Note: DS 009-2019-MINAM implements DL 1278 Art. 13 EPR for prioritized goods, replacing DS 001-2012-MINAM. WEEE streams commonly contain recoverable polymer casings and components. Complementary provisions were amended by DS 035-2021-MINAM.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