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Regulation on Environmental Quality and Effluent Standards</w:t>
      </w:r>
    </w:p>
    <w:p>
      <w:pPr>
        <w:jc w:val="center"/>
      </w:pPr>
      <w:r>
        <w:t>Decree No. 18/2004, as amended by Decree No. 67/2010</w:t>
      </w:r>
    </w:p>
    <w:p>
      <w:pPr>
        <w:jc w:val="center"/>
      </w:pPr>
      <w:r>
        <w:rPr>
          <w:i/>
        </w:rPr>
        <w:t>English translation</w:t>
        <w:br/>
        <w:t>Regulamento sobre Padrões de Qualidade Ambiental e de Emissão de Efluentes</w:t>
        <w:br/>
      </w:r>
      <w:r>
        <w:t>Translated for 4P Index policy analysis — 2026-06-19</w:t>
      </w:r>
    </w:p>
    <w:p>
      <w:pPr>
        <w:pStyle w:val="Heading1"/>
      </w:pPr>
      <w:r>
        <w:t>Decree No. 67/2010 (Amendment)</w:t>
      </w:r>
    </w:p>
    <w:p>
      <w:r>
        <w:t>of 31 December</w:t>
        <w:br/>
        <w:br/>
        <w:t>Given the need to review and update environmental quality standards and revise applicable fees and fines, pursuant to Article 33 of the Environment Law combined with Article 6 of Decree No. 18/2004 of 2 June, the Council of Ministers decrees:</w:t>
      </w:r>
    </w:p>
    <w:p>
      <w:pPr>
        <w:pStyle w:val="Heading2"/>
      </w:pPr>
      <w:r>
        <w:t>Article 1</w:t>
      </w:r>
    </w:p>
    <w:p>
      <w:r>
        <w:t>1. Annexes I and V referred to in Article 7 and paragraph 3 of Article 16 of the Regulation on Environmental Quality and Effluent Emission Standards, approved by Decree No. 18/2004 of 2 June, are amended and replaced by Annexes I and V to this Decree.</w:t>
        <w:br/>
        <w:t>2. Annexes IA and IB to this Decree are approved and incorporated into the Regulation on Environmental Quality and Effluent Emission Standards.</w:t>
      </w:r>
    </w:p>
    <w:p>
      <w:pPr>
        <w:pStyle w:val="Heading2"/>
      </w:pPr>
      <w:r>
        <w:t>Article 2 — Articles 23 and 24 (as amended)</w:t>
      </w:r>
    </w:p>
    <w:p>
      <w:r>
        <w:t>Article 23 (Special authorization issuance fees)</w:t>
        <w:br/>
        <w:t>1. For issuance of the authorization provided in paragraph 2 of Article 22 of the Regulation on Environmental Quality and Effluent Emission Standards, a fee shall be paid by the polluter in an amount between 50,000.00 MT and 500,000.00 MT.</w:t>
        <w:br/>
        <w:t>3. Revenue from fees collected under this Regulation shall be allocated as follows:</w:t>
        <w:br/>
        <w:t xml:space="preserve">   a) 60% to the State Budget;</w:t>
        <w:br/>
        <w:t xml:space="preserve">   b) 40% to the Environment Fund.</w:t>
        <w:br/>
        <w:br/>
        <w:t>Article 24 (Violations and fines)</w:t>
        <w:br/>
        <w:t>1. Without prejudice to other sanctions under applicable law, the following constitute violations punishable by fines between 1,000,000.00 MT and 10,000,000.00 MT:</w:t>
        <w:br/>
        <w:t xml:space="preserve">   [subparagraphs a–c as in original decree]</w:t>
        <w:br/>
        <w:t>2. Fines shall be graduated as follows:</w:t>
        <w:br/>
        <w:t xml:space="preserve">   a) 1,000,000.00–2,000,000.00 MT for Category C activities under the EIA Regulation;</w:t>
        <w:br/>
        <w:t xml:space="preserve">   b) 2,000,000.00–5,000,000.00 MT for Category B activities;</w:t>
        <w:br/>
        <w:t xml:space="preserve">   c) 5,000,000.00–10,000,000.00 MT for Category A activities.</w:t>
      </w:r>
    </w:p>
    <w:p>
      <w:pPr>
        <w:pStyle w:val="Heading2"/>
      </w:pPr>
      <w:r>
        <w:t>Article 3 (Payment of fees and fines)</w:t>
      </w:r>
    </w:p>
    <w:p>
      <w:r>
        <w:t>Revenues collected under this Regulation shall be paid to the competent Tax Directorate using the appropriate official form.</w:t>
      </w:r>
    </w:p>
    <w:p>
      <w:pPr>
        <w:pStyle w:val="Heading2"/>
      </w:pPr>
      <w:r>
        <w:t>Article 4 (Updating fees and fines)</w:t>
      </w:r>
    </w:p>
    <w:p>
      <w:r>
        <w:t>The Ministers overseeing the Environment and Finance sectors shall update fee and fine amounts provided in this Regulation.</w:t>
      </w:r>
    </w:p>
    <w:p>
      <w:pPr>
        <w:pStyle w:val="Heading2"/>
      </w:pPr>
      <w:r>
        <w:t>Decree No. 18/2004 — Key provisions (base regulation, summary)</w:t>
      </w:r>
    </w:p>
    <w:p>
      <w:r>
        <w:t>Approved 2 June 2004. Implements Article 10 of the Environment Law (Law No. 20/97).</w:t>
        <w:br/>
        <w:br/>
        <w:t>Article 3 — Scope: Applies to all public and private activities that directly or indirectly may interfere with environmental components.</w:t>
        <w:br/>
        <w:br/>
        <w:t>Article 7 — Sets parameters for maintenance of air quality.</w:t>
        <w:br/>
        <w:br/>
        <w:t>Article 8 — Provides atmospheric pollutant emission standards per industrial establishment.</w:t>
        <w:br/>
        <w:br/>
        <w:t>Article 10 — Mechanisms for atmospheric pollutant discharges through appropriate chimneys.</w:t>
        <w:br/>
        <w:br/>
        <w:t>Article 16 — Establishes emission standards for liquid industrial effluent discharges and quality requirements before final discharge to the receiving environment.</w:t>
        <w:br/>
        <w:br/>
        <w:t>Article 20 — Noise levels shall be established by MICOA considering the noise source, through special legislation after sector consultation.</w:t>
        <w:br/>
        <w:br/>
        <w:t>Article 22 — Special authorization regime for emissions (referenced in amended Art. 23).</w:t>
      </w:r>
    </w:p>
    <w:p>
      <w:pPr>
        <w:pStyle w:val="Heading2"/>
      </w:pPr>
      <w:r>
        <w:t>Annex I — Air Quality Standards (as amended 2010)</w:t>
      </w:r>
    </w:p>
    <w:p>
      <w:r>
        <w:t>Numeric limits (µg/m³) for SO₂, CO, O₃ and particulate matter across 10-minute, 15-minute, 30-minute, 1-hour, 8-hour, 24-hour and annual averaging periods (primary and secondary standards).</w:t>
      </w:r>
    </w:p>
    <w:p>
      <w:pPr>
        <w:pStyle w:val="Heading2"/>
      </w:pPr>
      <w:r>
        <w:t>Annex IA — Inorganic and Organic Carcinogenic Air Pollutants</w:t>
      </w:r>
    </w:p>
    <w:p>
      <w:r>
        <w:t>Limits for lead, manganese, mercury, arsenic, chromium, nickel, benzene, formaldehyde, styrene, toluene, tetrachloroethylene and related substances across defined sampling periods.</w:t>
      </w:r>
    </w:p>
    <w:p>
      <w:pPr>
        <w:pStyle w:val="Heading2"/>
      </w:pPr>
      <w:r>
        <w:t>Annex IB — Substances with Odorous Properties</w:t>
      </w:r>
    </w:p>
    <w:p>
      <w:r>
        <w:t>Concentration limits (ppm/vol) for ammonia, bromine, chlorine, methylene chloride, carbon disulfide, phenol, perchloroethylene, carbon tetrachloride and related substances.</w:t>
      </w:r>
    </w:p>
    <w:p>
      <w:pPr>
        <w:pStyle w:val="Heading2"/>
      </w:pPr>
      <w:r>
        <w:t>Annex V — Air quality, marine receptor and chemical standards (extract)</w:t>
      </w:r>
    </w:p>
    <w:p>
      <w:r>
        <w:t>Air quality management:</w:t>
        <w:br/>
        <w:t>• Open-air burning of solid waste, liquid waste or any other combustible material causing environmental degradation is prohibited.</w:t>
        <w:br/>
        <w:t>• Installation and operation of domestic and industrial incinerators is prohibited, except hospital incinerators.</w:t>
        <w:br/>
        <w:t>• Where necessary, automatic equipment measuring emitted pollutant quantities and qualities may be required.</w:t>
        <w:br/>
        <w:t>• Emission of odorous substances perceptible beyond the emitting property boundary is prohibited; detection by credentialed agents.</w:t>
        <w:br/>
        <w:br/>
        <w:t>Marine/ocean receiving body standards:</w:t>
        <w:br/>
        <w:t>Pollutant levels must remain below maximum values for potentially harmful substances. Industrial and agro-livestock discharges are permitted only if:</w:t>
        <w:br/>
        <w:t>a) Floating materials: virtually absent;</w:t>
        <w:br/>
        <w:t>b) Oils and greases: virtually absent;</w:t>
        <w:br/>
        <w:t>c) Substances causing colour, odour and turbidity: virtually absent;</w:t>
        <w:br/>
        <w:t>d) Artificial colorants: virtually absent;</w:t>
        <w:br/>
        <w:t>e) Substances forming objectionable deposits: virtually absent;</w:t>
        <w:br/>
        <w:t>f) Substances/conditions facilitating undesirable aquatic life: virtually absent;</w:t>
        <w:br/>
        <w:t>g) BOD₅ (20°C) ≤ 5 mg/l;</w:t>
        <w:br/>
        <w:t>h) Dissolved oxygen ≥ 6 mg/l;</w:t>
        <w:br/>
        <w:t>i) pH between 6.5 and 8.5; no change greater than 0.2 units from normal.</w:t>
        <w:br/>
        <w:br/>
        <w:t>Tables I and IA set minimum/maximum concentration limits (mg/l) for metals, phenols, surfactants, organochlorine pesticides, herbicides and other chemical substances.</w:t>
      </w:r>
    </w:p>
    <w:p>
      <w:r>
        <w:br w:type="page"/>
      </w:r>
    </w:p>
    <w:p>
      <w:pPr>
        <w:pStyle w:val="Heading1"/>
      </w:pPr>
      <w:r>
        <w:t>4P Index Coding Summary</w:t>
      </w:r>
    </w:p>
    <w:p>
      <w:r>
        <w:t>Policy: Regulamento sobre Padrões de Qualidade Ambiental e de Emissão de Efluentes (Decreto n.º 18/2004, alterado pelo Decreto n.º 67/2010)</w:t>
        <w:br/>
        <w:t>Year (last amendment): 2010</w:t>
        <w:br/>
        <w:t>Instruments coded: 14</w:t>
        <w:br/>
        <w:t>Full table: 4P_Index_Mozambique_Decree_18_2004.xlsx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