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Mozambique: National Policies Addressing Plastic Pollution (English / Portuguese)</w:t>
      </w:r>
    </w:p>
    <w:p>
      <w:pPr>
        <w:jc w:val="left"/>
      </w:pPr>
      <w:r>
        <w:t>National and national-subnational instruments (laws, regulations, policies, strategies, plans, and programmes) that directly or indirectly address plastic pollution across the life cycle. International treaties excluded. Links are direct PDF/document URLs only (no news articles). Verified June 2026.</w:t>
      </w:r>
    </w:p>
    <w:tbl>
      <w:tblPr>
        <w:tblStyle w:val="TableGrid"/>
        <w:tblW w:type="auto" w:w="0"/>
        <w:tblLayout w:type="fixed"/>
        <w:tblLook w:firstColumn="1" w:firstRow="1" w:lastColumn="0" w:lastRow="0" w:noHBand="0" w:noVBand="1" w:val="04A0"/>
      </w:tblPr>
      <w:tblGrid>
        <w:gridCol w:w="1656"/>
        <w:gridCol w:w="1656"/>
        <w:gridCol w:w="936"/>
        <w:gridCol w:w="720"/>
        <w:gridCol w:w="2088"/>
        <w:gridCol w:w="1224"/>
        <w:gridCol w:w="1152"/>
        <w:gridCol w:w="2088"/>
      </w:tblGrid>
      <w:tr>
        <w:tc>
          <w:tcPr>
            <w:tcW w:type="dxa" w:w="1386"/>
          </w:tcPr>
          <w:p>
            <w:r>
              <w:rPr>
                <w:b/>
                <w:sz w:val="16"/>
              </w:rPr>
              <w:t>Policy Title (English)</w:t>
            </w:r>
          </w:p>
        </w:tc>
        <w:tc>
          <w:tcPr>
            <w:tcW w:type="dxa" w:w="1386"/>
          </w:tcPr>
          <w:p>
            <w:r>
              <w:rPr>
                <w:b/>
                <w:sz w:val="16"/>
              </w:rPr>
              <w:t>Policy Title (Portuguese)</w:t>
            </w:r>
          </w:p>
        </w:tc>
        <w:tc>
          <w:tcPr>
            <w:tcW w:type="dxa" w:w="1386"/>
          </w:tcPr>
          <w:p>
            <w:r>
              <w:rPr>
                <w:b/>
                <w:sz w:val="16"/>
              </w:rPr>
              <w:t>Policy Type</w:t>
            </w:r>
          </w:p>
        </w:tc>
        <w:tc>
          <w:tcPr>
            <w:tcW w:type="dxa" w:w="1386"/>
          </w:tcPr>
          <w:p>
            <w:r>
              <w:rPr>
                <w:b/>
                <w:sz w:val="16"/>
              </w:rPr>
              <w:t>Last amendment year</w:t>
            </w:r>
          </w:p>
        </w:tc>
        <w:tc>
          <w:tcPr>
            <w:tcW w:type="dxa" w:w="1386"/>
          </w:tcPr>
          <w:p>
            <w:r>
              <w:rPr>
                <w:b/>
                <w:sz w:val="16"/>
              </w:rPr>
              <w:t>Short description</w:t>
            </w:r>
          </w:p>
        </w:tc>
        <w:tc>
          <w:tcPr>
            <w:tcW w:type="dxa" w:w="1386"/>
          </w:tcPr>
          <w:p>
            <w:r>
              <w:rPr>
                <w:b/>
                <w:sz w:val="16"/>
              </w:rPr>
              <w:t>Sectors</w:t>
            </w:r>
          </w:p>
        </w:tc>
        <w:tc>
          <w:tcPr>
            <w:tcW w:type="dxa" w:w="1386"/>
          </w:tcPr>
          <w:p>
            <w:r>
              <w:rPr>
                <w:b/>
                <w:sz w:val="16"/>
              </w:rPr>
              <w:t>Life-Cycle stage</w:t>
            </w:r>
          </w:p>
        </w:tc>
        <w:tc>
          <w:tcPr>
            <w:tcW w:type="dxa" w:w="1386"/>
          </w:tcPr>
          <w:p>
            <w:r>
              <w:rPr>
                <w:b/>
                <w:sz w:val="16"/>
              </w:rPr>
              <w:t>Link</w:t>
            </w:r>
          </w:p>
        </w:tc>
      </w:tr>
      <w:tr>
        <w:tc>
          <w:tcPr>
            <w:tcW w:type="dxa" w:w="1656"/>
          </w:tcPr>
          <w:p>
            <w:r>
              <w:rPr>
                <w:sz w:val="14"/>
              </w:rPr>
              <w:t>National Environmental Policy (Resolution No. 5/95)</w:t>
            </w:r>
          </w:p>
        </w:tc>
        <w:tc>
          <w:tcPr>
            <w:tcW w:type="dxa" w:w="1656"/>
          </w:tcPr>
          <w:p>
            <w:r>
              <w:rPr>
                <w:sz w:val="14"/>
              </w:rPr>
              <w:t>Política Nacional do Ambiente (Resolução n.º 5/95)</w:t>
            </w:r>
          </w:p>
        </w:tc>
        <w:tc>
          <w:tcPr>
            <w:tcW w:type="dxa" w:w="936"/>
          </w:tcPr>
          <w:p>
            <w:r>
              <w:rPr>
                <w:sz w:val="14"/>
              </w:rPr>
              <w:t>Policy</w:t>
            </w:r>
          </w:p>
        </w:tc>
        <w:tc>
          <w:tcPr>
            <w:tcW w:type="dxa" w:w="720"/>
          </w:tcPr>
          <w:p>
            <w:r>
              <w:rPr>
                <w:sz w:val="14"/>
              </w:rPr>
              <w:t>1995</w:t>
            </w:r>
          </w:p>
        </w:tc>
        <w:tc>
          <w:tcPr>
            <w:tcW w:type="dxa" w:w="2088"/>
          </w:tcPr>
          <w:p>
            <w:r>
              <w:rPr>
                <w:sz w:val="14"/>
              </w:rPr>
              <w:t>Approves Mozambique's national environmental policy, establishing principles and guidelines for sustainable use of natural resources, pollution prevention, and environmental management across sectors.</w:t>
            </w:r>
          </w:p>
        </w:tc>
        <w:tc>
          <w:tcPr>
            <w:tcW w:type="dxa" w:w="1224"/>
          </w:tcPr>
          <w:p>
            <w:r>
              <w:rPr>
                <w:sz w:val="14"/>
              </w:rPr>
              <w:t>Environment; all economic sectors</w:t>
            </w:r>
          </w:p>
        </w:tc>
        <w:tc>
          <w:tcPr>
            <w:tcW w:type="dxa" w:w="1152"/>
          </w:tcPr>
          <w:p>
            <w:r>
              <w:rPr>
                <w:sz w:val="14"/>
              </w:rPr>
              <w:t>All stages (framework)</w:t>
            </w:r>
          </w:p>
        </w:tc>
        <w:tc>
          <w:tcPr>
            <w:tcW w:type="dxa" w:w="2088"/>
          </w:tcPr>
          <w:p>
            <w:r>
              <w:rPr>
                <w:sz w:val="14"/>
              </w:rPr>
              <w:t>No standalone official PDF identified on publicly accessible government portals (verified via sibmoz.gov.mz legal framework, June 2026).</w:t>
            </w:r>
          </w:p>
        </w:tc>
      </w:tr>
      <w:tr>
        <w:tc>
          <w:tcPr>
            <w:tcW w:type="dxa" w:w="1656"/>
          </w:tcPr>
          <w:p>
            <w:r>
              <w:rPr>
                <w:sz w:val="14"/>
              </w:rPr>
              <w:t>Environmental Law (Law No. 20/97)</w:t>
            </w:r>
          </w:p>
        </w:tc>
        <w:tc>
          <w:tcPr>
            <w:tcW w:type="dxa" w:w="1656"/>
          </w:tcPr>
          <w:p>
            <w:r>
              <w:rPr>
                <w:sz w:val="14"/>
              </w:rPr>
              <w:t>Lei do Ambiente (Lei n.º 20/97)</w:t>
            </w:r>
          </w:p>
        </w:tc>
        <w:tc>
          <w:tcPr>
            <w:tcW w:type="dxa" w:w="936"/>
          </w:tcPr>
          <w:p>
            <w:r>
              <w:rPr>
                <w:sz w:val="14"/>
              </w:rPr>
              <w:t>Law</w:t>
            </w:r>
          </w:p>
        </w:tc>
        <w:tc>
          <w:tcPr>
            <w:tcW w:type="dxa" w:w="720"/>
          </w:tcPr>
          <w:p>
            <w:r>
              <w:rPr>
                <w:sz w:val="14"/>
              </w:rPr>
              <w:t>1997</w:t>
            </w:r>
          </w:p>
        </w:tc>
        <w:tc>
          <w:tcPr>
            <w:tcW w:type="dxa" w:w="2088"/>
          </w:tcPr>
          <w:p>
            <w:r>
              <w:rPr>
                <w:sz w:val="14"/>
              </w:rPr>
              <w:t>Framework environmental law prohibiting unauthorized release of pollutants, establishing bases for environmental management, licensing, and sustainable development.</w:t>
            </w:r>
          </w:p>
        </w:tc>
        <w:tc>
          <w:tcPr>
            <w:tcW w:type="dxa" w:w="1224"/>
          </w:tcPr>
          <w:p>
            <w:r>
              <w:rPr>
                <w:sz w:val="14"/>
              </w:rPr>
              <w:t>Environment; industry; municipalities; agriculture</w:t>
            </w:r>
          </w:p>
        </w:tc>
        <w:tc>
          <w:tcPr>
            <w:tcW w:type="dxa" w:w="1152"/>
          </w:tcPr>
          <w:p>
            <w:r>
              <w:rPr>
                <w:sz w:val="14"/>
              </w:rPr>
              <w:t>All stages (framework)</w:t>
            </w:r>
          </w:p>
        </w:tc>
        <w:tc>
          <w:tcPr>
            <w:tcW w:type="dxa" w:w="2088"/>
          </w:tcPr>
          <w:p>
            <w:hyperlink r:id="rId9">
              <w:r>
                <w:rPr>
                  <w:color w:val="0563C1"/>
                  <w:u w:val="single"/>
                </w:rPr>
                <w:t>https://sibmoz.gov.mz/content/uploads/2022/01/1547563349-Lei-do-Ambiente.pdf</w:t>
              </w:r>
            </w:hyperlink>
          </w:p>
        </w:tc>
      </w:tr>
      <w:tr>
        <w:tc>
          <w:tcPr>
            <w:tcW w:type="dxa" w:w="1656"/>
          </w:tcPr>
          <w:p>
            <w:r>
              <w:rPr>
                <w:sz w:val="14"/>
              </w:rPr>
              <w:t>Regulation on Management and Control of Plastic Bags (Decree No. 16/2015)</w:t>
            </w:r>
          </w:p>
        </w:tc>
        <w:tc>
          <w:tcPr>
            <w:tcW w:type="dxa" w:w="1656"/>
          </w:tcPr>
          <w:p>
            <w:r>
              <w:rPr>
                <w:sz w:val="14"/>
              </w:rPr>
              <w:t>Regulamento sobre a Gestão e Controlo do Saco de Plástico (Decreto n.º 16/2015)</w:t>
            </w:r>
          </w:p>
        </w:tc>
        <w:tc>
          <w:tcPr>
            <w:tcW w:type="dxa" w:w="936"/>
          </w:tcPr>
          <w:p>
            <w:r>
              <w:rPr>
                <w:sz w:val="14"/>
              </w:rPr>
              <w:t>Regulation</w:t>
            </w:r>
          </w:p>
        </w:tc>
        <w:tc>
          <w:tcPr>
            <w:tcW w:type="dxa" w:w="720"/>
          </w:tcPr>
          <w:p>
            <w:r>
              <w:rPr>
                <w:sz w:val="14"/>
              </w:rPr>
              <w:t>2015</w:t>
            </w:r>
          </w:p>
        </w:tc>
        <w:tc>
          <w:tcPr>
            <w:tcW w:type="dxa" w:w="2088"/>
          </w:tcPr>
          <w:p>
            <w:r>
              <w:rPr>
                <w:sz w:val="14"/>
              </w:rPr>
              <w:t>Regulates production, import, marketing, and use of plastic bags; prohibits thin plastic bags, sets labelling and thickness requirements, and phases in import/production bans.</w:t>
            </w:r>
          </w:p>
        </w:tc>
        <w:tc>
          <w:tcPr>
            <w:tcW w:type="dxa" w:w="1224"/>
          </w:tcPr>
          <w:p>
            <w:r>
              <w:rPr>
                <w:sz w:val="14"/>
              </w:rPr>
              <w:t>Industry; commerce; municipalities; environment</w:t>
            </w:r>
          </w:p>
        </w:tc>
        <w:tc>
          <w:tcPr>
            <w:tcW w:type="dxa" w:w="1152"/>
          </w:tcPr>
          <w:p>
            <w:r>
              <w:rPr>
                <w:sz w:val="14"/>
              </w:rPr>
              <w:t>Production; distribution; use; end-of-life</w:t>
            </w:r>
          </w:p>
        </w:tc>
        <w:tc>
          <w:tcPr>
            <w:tcW w:type="dxa" w:w="2088"/>
          </w:tcPr>
          <w:p>
            <w:hyperlink r:id="rId10">
              <w:r>
                <w:rPr>
                  <w:color w:val="0563C1"/>
                  <w:u w:val="single"/>
                </w:rPr>
                <w:t>https://sibmoz.gov.mz/content/uploads/2022/01/Regulamento-Sobre-a-Gestao-e-Controlo-do-Saco-de-Plastico.pdf</w:t>
              </w:r>
            </w:hyperlink>
          </w:p>
        </w:tc>
      </w:tr>
      <w:tr>
        <w:tc>
          <w:tcPr>
            <w:tcW w:type="dxa" w:w="1656"/>
          </w:tcPr>
          <w:p>
            <w:r>
              <w:rPr>
                <w:sz w:val="14"/>
              </w:rPr>
              <w:t>Regulation on Extended Producer Responsibility for Packaging (Decree No. 79/2017)</w:t>
            </w:r>
          </w:p>
        </w:tc>
        <w:tc>
          <w:tcPr>
            <w:tcW w:type="dxa" w:w="1656"/>
          </w:tcPr>
          <w:p>
            <w:r>
              <w:rPr>
                <w:sz w:val="14"/>
              </w:rPr>
              <w:t>Regulamento sobre a Responsabilidade Alargada dos Produtores e Importadores de Embalagens (Decreto n.º 79/2017)</w:t>
            </w:r>
          </w:p>
        </w:tc>
        <w:tc>
          <w:tcPr>
            <w:tcW w:type="dxa" w:w="936"/>
          </w:tcPr>
          <w:p>
            <w:r>
              <w:rPr>
                <w:sz w:val="14"/>
              </w:rPr>
              <w:t>Regulation</w:t>
            </w:r>
          </w:p>
        </w:tc>
        <w:tc>
          <w:tcPr>
            <w:tcW w:type="dxa" w:w="720"/>
          </w:tcPr>
          <w:p>
            <w:r>
              <w:rPr>
                <w:sz w:val="14"/>
              </w:rPr>
              <w:t>2017</w:t>
            </w:r>
          </w:p>
        </w:tc>
        <w:tc>
          <w:tcPr>
            <w:tcW w:type="dxa" w:w="2088"/>
          </w:tcPr>
          <w:p>
            <w:r>
              <w:rPr>
                <w:sz w:val="14"/>
              </w:rPr>
              <w:t>Establishes extended producer responsibility (EPR) for packaging, including internal management systems, packaging environmental fee (TAE), and packaging standardisation.</w:t>
            </w:r>
          </w:p>
        </w:tc>
        <w:tc>
          <w:tcPr>
            <w:tcW w:type="dxa" w:w="1224"/>
          </w:tcPr>
          <w:p>
            <w:r>
              <w:rPr>
                <w:sz w:val="14"/>
              </w:rPr>
              <w:t>Industry; commerce; environment; municipalities</w:t>
            </w:r>
          </w:p>
        </w:tc>
        <w:tc>
          <w:tcPr>
            <w:tcW w:type="dxa" w:w="1152"/>
          </w:tcPr>
          <w:p>
            <w:r>
              <w:rPr>
                <w:sz w:val="14"/>
              </w:rPr>
              <w:t>Production; distribution; end-of-life</w:t>
            </w:r>
          </w:p>
        </w:tc>
        <w:tc>
          <w:tcPr>
            <w:tcW w:type="dxa" w:w="2088"/>
          </w:tcPr>
          <w:p>
            <w:r>
              <w:rPr>
                <w:sz w:val="14"/>
              </w:rPr>
              <w:t>No standalone official PDF identified on publicly accessible government portals (verified via sibmoz.gov.mz legal framework, June 2026).</w:t>
            </w:r>
          </w:p>
        </w:tc>
      </w:tr>
      <w:tr>
        <w:tc>
          <w:tcPr>
            <w:tcW w:type="dxa" w:w="1656"/>
          </w:tcPr>
          <w:p>
            <w:r>
              <w:rPr>
                <w:sz w:val="14"/>
              </w:rPr>
              <w:t>Regulation on Urban Solid Waste Management (Decree No. 94/2014)</w:t>
            </w:r>
          </w:p>
        </w:tc>
        <w:tc>
          <w:tcPr>
            <w:tcW w:type="dxa" w:w="1656"/>
          </w:tcPr>
          <w:p>
            <w:r>
              <w:rPr>
                <w:sz w:val="14"/>
              </w:rPr>
              <w:t>Regulamento sobre a Gestão de Resíduos Sólidos Urbanos (Decreto n.º 94/2014)</w:t>
            </w:r>
          </w:p>
        </w:tc>
        <w:tc>
          <w:tcPr>
            <w:tcW w:type="dxa" w:w="936"/>
          </w:tcPr>
          <w:p>
            <w:r>
              <w:rPr>
                <w:sz w:val="14"/>
              </w:rPr>
              <w:t>Regulation</w:t>
            </w:r>
          </w:p>
        </w:tc>
        <w:tc>
          <w:tcPr>
            <w:tcW w:type="dxa" w:w="720"/>
          </w:tcPr>
          <w:p>
            <w:r>
              <w:rPr>
                <w:sz w:val="14"/>
              </w:rPr>
              <w:t>2014</w:t>
            </w:r>
          </w:p>
        </w:tc>
        <w:tc>
          <w:tcPr>
            <w:tcW w:type="dxa" w:w="2088"/>
          </w:tcPr>
          <w:p>
            <w:r>
              <w:rPr>
                <w:sz w:val="14"/>
              </w:rPr>
              <w:t>National regulation on urban solid waste management: segregation (including plastics), collection, transport, treatment, valorisation, landfill rules, and municipal responsibilities.</w:t>
            </w:r>
          </w:p>
        </w:tc>
        <w:tc>
          <w:tcPr>
            <w:tcW w:type="dxa" w:w="1224"/>
          </w:tcPr>
          <w:p>
            <w:r>
              <w:rPr>
                <w:sz w:val="14"/>
              </w:rPr>
              <w:t>Municipalities; environment; public health; private waste operators</w:t>
            </w:r>
          </w:p>
        </w:tc>
        <w:tc>
          <w:tcPr>
            <w:tcW w:type="dxa" w:w="1152"/>
          </w:tcPr>
          <w:p>
            <w:r>
              <w:rPr>
                <w:sz w:val="14"/>
              </w:rPr>
              <w:t>Collection; end-of-life</w:t>
            </w:r>
          </w:p>
        </w:tc>
        <w:tc>
          <w:tcPr>
            <w:tcW w:type="dxa" w:w="2088"/>
          </w:tcPr>
          <w:p>
            <w:hyperlink r:id="rId11">
              <w:r>
                <w:rPr>
                  <w:color w:val="0563C1"/>
                  <w:u w:val="single"/>
                </w:rPr>
                <w:t>https://gpa.co.mz/wp-content/uploads/2023/08/REGULAMENTO-DA-LEI-DA-CONCORRENCIA_2014-1.pdf</w:t>
              </w:r>
            </w:hyperlink>
          </w:p>
        </w:tc>
      </w:tr>
      <w:tr>
        <w:tc>
          <w:tcPr>
            <w:tcW w:type="dxa" w:w="1656"/>
          </w:tcPr>
          <w:p>
            <w:r>
              <w:rPr>
                <w:sz w:val="14"/>
              </w:rPr>
              <w:t>Regulation on Hazardous Waste Management (Decree No. 83/2014)</w:t>
            </w:r>
          </w:p>
        </w:tc>
        <w:tc>
          <w:tcPr>
            <w:tcW w:type="dxa" w:w="1656"/>
          </w:tcPr>
          <w:p>
            <w:r>
              <w:rPr>
                <w:sz w:val="14"/>
              </w:rPr>
              <w:t>Regulamento sobre a Gestão de Resíduos Perigosos (Decreto n.º 83/2014)</w:t>
            </w:r>
          </w:p>
        </w:tc>
        <w:tc>
          <w:tcPr>
            <w:tcW w:type="dxa" w:w="936"/>
          </w:tcPr>
          <w:p>
            <w:r>
              <w:rPr>
                <w:sz w:val="14"/>
              </w:rPr>
              <w:t>Regulation</w:t>
            </w:r>
          </w:p>
        </w:tc>
        <w:tc>
          <w:tcPr>
            <w:tcW w:type="dxa" w:w="720"/>
          </w:tcPr>
          <w:p>
            <w:r>
              <w:rPr>
                <w:sz w:val="14"/>
              </w:rPr>
              <w:t>2014</w:t>
            </w:r>
          </w:p>
        </w:tc>
        <w:tc>
          <w:tcPr>
            <w:tcW w:type="dxa" w:w="2088"/>
          </w:tcPr>
          <w:p>
            <w:r>
              <w:rPr>
                <w:sz w:val="14"/>
              </w:rPr>
              <w:t>Sets procedures for safe management, transport, storage, and disposal of hazardous wastes from industrial and other activities.</w:t>
            </w:r>
          </w:p>
        </w:tc>
        <w:tc>
          <w:tcPr>
            <w:tcW w:type="dxa" w:w="1224"/>
          </w:tcPr>
          <w:p>
            <w:r>
              <w:rPr>
                <w:sz w:val="14"/>
              </w:rPr>
              <w:t>Industry; health; environment; municipalities</w:t>
            </w:r>
          </w:p>
        </w:tc>
        <w:tc>
          <w:tcPr>
            <w:tcW w:type="dxa" w:w="1152"/>
          </w:tcPr>
          <w:p>
            <w:r>
              <w:rPr>
                <w:sz w:val="14"/>
              </w:rPr>
              <w:t>Production; end-of-life</w:t>
            </w:r>
          </w:p>
        </w:tc>
        <w:tc>
          <w:tcPr>
            <w:tcW w:type="dxa" w:w="2088"/>
          </w:tcPr>
          <w:p>
            <w:hyperlink r:id="rId12">
              <w:r>
                <w:rPr>
                  <w:color w:val="0563C1"/>
                  <w:u w:val="single"/>
                </w:rPr>
                <w:t>https://sibmoz.gov.mz/content/uploads/2022/01/Aprova-o-Regulamento-sobre-Gestao-de-Residuos-perigosos-e-os-respectivos-anexos.pdf</w:t>
              </w:r>
            </w:hyperlink>
          </w:p>
        </w:tc>
      </w:tr>
      <w:tr>
        <w:tc>
          <w:tcPr>
            <w:tcW w:type="dxa" w:w="1656"/>
          </w:tcPr>
          <w:p>
            <w:r>
              <w:rPr>
                <w:sz w:val="14"/>
              </w:rPr>
              <w:t>National Sustainable Waste Management Programme (ValoRe)</w:t>
            </w:r>
          </w:p>
        </w:tc>
        <w:tc>
          <w:tcPr>
            <w:tcW w:type="dxa" w:w="1656"/>
          </w:tcPr>
          <w:p>
            <w:r>
              <w:rPr>
                <w:sz w:val="14"/>
              </w:rPr>
              <w:t>Programa Nacional de Gestão Sustentável de Resíduos (ValoRe)</w:t>
            </w:r>
          </w:p>
        </w:tc>
        <w:tc>
          <w:tcPr>
            <w:tcW w:type="dxa" w:w="936"/>
          </w:tcPr>
          <w:p>
            <w:r>
              <w:rPr>
                <w:sz w:val="14"/>
              </w:rPr>
              <w:t>Program</w:t>
            </w:r>
          </w:p>
        </w:tc>
        <w:tc>
          <w:tcPr>
            <w:tcW w:type="dxa" w:w="720"/>
          </w:tcPr>
          <w:p>
            <w:r>
              <w:rPr>
                <w:sz w:val="14"/>
              </w:rPr>
              <w:t>2025</w:t>
            </w:r>
          </w:p>
        </w:tc>
        <w:tc>
          <w:tcPr>
            <w:tcW w:type="dxa" w:w="2088"/>
          </w:tcPr>
          <w:p>
            <w:r>
              <w:rPr>
                <w:sz w:val="14"/>
              </w:rPr>
              <w:t>Government circular-economy programme to build sustainable waste-treatment infrastructure, strengthen recycling value chains, and pilot municipal waste management.</w:t>
            </w:r>
          </w:p>
        </w:tc>
        <w:tc>
          <w:tcPr>
            <w:tcW w:type="dxa" w:w="1224"/>
          </w:tcPr>
          <w:p>
            <w:r>
              <w:rPr>
                <w:sz w:val="14"/>
              </w:rPr>
              <w:t>Municipalities; environment; industry; finance</w:t>
            </w:r>
          </w:p>
        </w:tc>
        <w:tc>
          <w:tcPr>
            <w:tcW w:type="dxa" w:w="1152"/>
          </w:tcPr>
          <w:p>
            <w:r>
              <w:rPr>
                <w:sz w:val="14"/>
              </w:rPr>
              <w:t>Collection; end-of-life</w:t>
            </w:r>
          </w:p>
        </w:tc>
        <w:tc>
          <w:tcPr>
            <w:tcW w:type="dxa" w:w="2088"/>
          </w:tcPr>
          <w:p>
            <w:r>
              <w:rPr>
                <w:sz w:val="14"/>
              </w:rPr>
              <w:t>No standalone official programme document PDF identified on publicly accessible government portals (June 2026).</w:t>
            </w:r>
          </w:p>
        </w:tc>
      </w:tr>
      <w:tr>
        <w:tc>
          <w:tcPr>
            <w:tcW w:type="dxa" w:w="1656"/>
          </w:tcPr>
          <w:p>
            <w:r>
              <w:rPr>
                <w:sz w:val="14"/>
              </w:rPr>
              <w:t>Regulation on Environmental Quality and Effluent Standards (Decree No. 18/2004, as amended by Decree No. 67/2010)</w:t>
            </w:r>
          </w:p>
        </w:tc>
        <w:tc>
          <w:tcPr>
            <w:tcW w:type="dxa" w:w="1656"/>
          </w:tcPr>
          <w:p>
            <w:r>
              <w:rPr>
                <w:sz w:val="14"/>
              </w:rPr>
              <w:t>Regulamento sobre Padrões de Qualidade Ambiental e de Emissão de Efluentes (Decreto n.º 18/2004, alterado pelo Decreto n.º 67/2010)</w:t>
            </w:r>
          </w:p>
        </w:tc>
        <w:tc>
          <w:tcPr>
            <w:tcW w:type="dxa" w:w="936"/>
          </w:tcPr>
          <w:p>
            <w:r>
              <w:rPr>
                <w:sz w:val="14"/>
              </w:rPr>
              <w:t>Regulation</w:t>
            </w:r>
          </w:p>
        </w:tc>
        <w:tc>
          <w:tcPr>
            <w:tcW w:type="dxa" w:w="720"/>
          </w:tcPr>
          <w:p>
            <w:r>
              <w:rPr>
                <w:sz w:val="14"/>
              </w:rPr>
              <w:t>2010</w:t>
            </w:r>
          </w:p>
        </w:tc>
        <w:tc>
          <w:tcPr>
            <w:tcW w:type="dxa" w:w="2088"/>
          </w:tcPr>
          <w:p>
            <w:r>
              <w:rPr>
                <w:sz w:val="14"/>
              </w:rPr>
              <w:t>Sets national environmental quality and effluent/emission standards for air, water, and mobile sources; limits pollutant releases and supports enforcement.</w:t>
            </w:r>
          </w:p>
        </w:tc>
        <w:tc>
          <w:tcPr>
            <w:tcW w:type="dxa" w:w="1224"/>
          </w:tcPr>
          <w:p>
            <w:r>
              <w:rPr>
                <w:sz w:val="14"/>
              </w:rPr>
              <w:t>Industry; environment; energy; transport</w:t>
            </w:r>
          </w:p>
        </w:tc>
        <w:tc>
          <w:tcPr>
            <w:tcW w:type="dxa" w:w="1152"/>
          </w:tcPr>
          <w:p>
            <w:r>
              <w:rPr>
                <w:sz w:val="14"/>
              </w:rPr>
              <w:t>Production; end-of-life</w:t>
            </w:r>
          </w:p>
        </w:tc>
        <w:tc>
          <w:tcPr>
            <w:tcW w:type="dxa" w:w="2088"/>
          </w:tcPr>
          <w:p>
            <w:hyperlink r:id="rId13">
              <w:r>
                <w:rPr>
                  <w:color w:val="0563C1"/>
                  <w:u w:val="single"/>
                </w:rPr>
                <w:t>https://sibmoz.gov.mz/content/uploads/2022/01/Regulamento-sobre-Padroes-de-Qualidade-Ambiental-e-de-Emissao-de-Efluentes.pdf</w:t>
              </w:r>
            </w:hyperlink>
          </w:p>
        </w:tc>
      </w:tr>
      <w:tr>
        <w:tc>
          <w:tcPr>
            <w:tcW w:type="dxa" w:w="1656"/>
          </w:tcPr>
          <w:p>
            <w:r>
              <w:rPr>
                <w:sz w:val="14"/>
              </w:rPr>
              <w:t>Regulation on Prevention of Marine and Coastal Pollution (Decree No. 45/2006)</w:t>
            </w:r>
          </w:p>
        </w:tc>
        <w:tc>
          <w:tcPr>
            <w:tcW w:type="dxa" w:w="1656"/>
          </w:tcPr>
          <w:p>
            <w:r>
              <w:rPr>
                <w:sz w:val="14"/>
              </w:rPr>
              <w:t>Regulamento para Prevenção da Poluição e Proteção do Ambiente Marinho e Costeiro (Decreto n.º 45/2006)</w:t>
            </w:r>
          </w:p>
        </w:tc>
        <w:tc>
          <w:tcPr>
            <w:tcW w:type="dxa" w:w="936"/>
          </w:tcPr>
          <w:p>
            <w:r>
              <w:rPr>
                <w:sz w:val="14"/>
              </w:rPr>
              <w:t>Regulation</w:t>
            </w:r>
          </w:p>
        </w:tc>
        <w:tc>
          <w:tcPr>
            <w:tcW w:type="dxa" w:w="720"/>
          </w:tcPr>
          <w:p>
            <w:r>
              <w:rPr>
                <w:sz w:val="14"/>
              </w:rPr>
              <w:t>2006</w:t>
            </w:r>
          </w:p>
        </w:tc>
        <w:tc>
          <w:tcPr>
            <w:tcW w:type="dxa" w:w="2088"/>
          </w:tcPr>
          <w:p>
            <w:r>
              <w:rPr>
                <w:sz w:val="14"/>
              </w:rPr>
              <w:t>Requires measures to prevent, control, and combat marine pollution from ships and land-based sources in Mozambique's jurisdictional waters.</w:t>
            </w:r>
          </w:p>
        </w:tc>
        <w:tc>
          <w:tcPr>
            <w:tcW w:type="dxa" w:w="1224"/>
          </w:tcPr>
          <w:p>
            <w:r>
              <w:rPr>
                <w:sz w:val="14"/>
              </w:rPr>
              <w:t>Maritime; fisheries; ports; environment</w:t>
            </w:r>
          </w:p>
        </w:tc>
        <w:tc>
          <w:tcPr>
            <w:tcW w:type="dxa" w:w="1152"/>
          </w:tcPr>
          <w:p>
            <w:r>
              <w:rPr>
                <w:sz w:val="14"/>
              </w:rPr>
              <w:t>Distribution; end-of-life</w:t>
            </w:r>
          </w:p>
        </w:tc>
        <w:tc>
          <w:tcPr>
            <w:tcW w:type="dxa" w:w="2088"/>
          </w:tcPr>
          <w:p>
            <w:hyperlink r:id="rId14">
              <w:r>
                <w:rPr>
                  <w:color w:val="0563C1"/>
                  <w:u w:val="single"/>
                </w:rPr>
                <w:t>https://sibmoz.gov.mz/content/uploads/2022/01/1547623391-Regulamento-sobre-a-Prevencao-da-Poluicao-ea-Proteccao-Ambiente-Marinho-e-Costeiro-Decreto-45-barra-2006.pdf</w:t>
              </w:r>
            </w:hyperlink>
          </w:p>
        </w:tc>
      </w:tr>
      <w:tr>
        <w:tc>
          <w:tcPr>
            <w:tcW w:type="dxa" w:w="1656"/>
          </w:tcPr>
          <w:p>
            <w:r>
              <w:rPr>
                <w:sz w:val="14"/>
              </w:rPr>
              <w:t>Regulation on Environmental Inspection (Decree No. 51/2024)</w:t>
            </w:r>
          </w:p>
        </w:tc>
        <w:tc>
          <w:tcPr>
            <w:tcW w:type="dxa" w:w="1656"/>
          </w:tcPr>
          <w:p>
            <w:r>
              <w:rPr>
                <w:sz w:val="14"/>
              </w:rPr>
              <w:t>Regulamento sobre a Actividade de Fiscalização Ambiental (Decreto n.º 51/2024)</w:t>
            </w:r>
          </w:p>
        </w:tc>
        <w:tc>
          <w:tcPr>
            <w:tcW w:type="dxa" w:w="936"/>
          </w:tcPr>
          <w:p>
            <w:r>
              <w:rPr>
                <w:sz w:val="14"/>
              </w:rPr>
              <w:t>Regulation</w:t>
            </w:r>
          </w:p>
        </w:tc>
        <w:tc>
          <w:tcPr>
            <w:tcW w:type="dxa" w:w="720"/>
          </w:tcPr>
          <w:p>
            <w:r>
              <w:rPr>
                <w:sz w:val="14"/>
              </w:rPr>
              <w:t>2024</w:t>
            </w:r>
          </w:p>
        </w:tc>
        <w:tc>
          <w:tcPr>
            <w:tcW w:type="dxa" w:w="2088"/>
          </w:tcPr>
          <w:p>
            <w:r>
              <w:rPr>
                <w:sz w:val="14"/>
              </w:rPr>
              <w:t>Approves rules for environmental inspection and enforcement, replacing Decree 11/2006 and defining inspection types and competencies.</w:t>
            </w:r>
          </w:p>
        </w:tc>
        <w:tc>
          <w:tcPr>
            <w:tcW w:type="dxa" w:w="1224"/>
          </w:tcPr>
          <w:p>
            <w:r>
              <w:rPr>
                <w:sz w:val="14"/>
              </w:rPr>
              <w:t>Environment; all regulated sectors</w:t>
            </w:r>
          </w:p>
        </w:tc>
        <w:tc>
          <w:tcPr>
            <w:tcW w:type="dxa" w:w="1152"/>
          </w:tcPr>
          <w:p>
            <w:r>
              <w:rPr>
                <w:sz w:val="14"/>
              </w:rPr>
              <w:t>All stages (enforcement)</w:t>
            </w:r>
          </w:p>
        </w:tc>
        <w:tc>
          <w:tcPr>
            <w:tcW w:type="dxa" w:w="2088"/>
          </w:tcPr>
          <w:p>
            <w:hyperlink r:id="rId15">
              <w:r>
                <w:rPr>
                  <w:color w:val="0563C1"/>
                  <w:u w:val="single"/>
                </w:rPr>
                <w:t>https://sibmoz.gov.mz/content/uploads/2025/11/Regulamento-de-fiscalizac%CC%A7a%CC%83o-ambiental.pdf</w:t>
              </w:r>
            </w:hyperlink>
          </w:p>
        </w:tc>
      </w:tr>
      <w:tr>
        <w:tc>
          <w:tcPr>
            <w:tcW w:type="dxa" w:w="1656"/>
          </w:tcPr>
          <w:p>
            <w:r>
              <w:rPr>
                <w:sz w:val="14"/>
              </w:rPr>
              <w:t>Environmental Impact Assessment Regulation (Decree No. 54/2015)</w:t>
            </w:r>
          </w:p>
        </w:tc>
        <w:tc>
          <w:tcPr>
            <w:tcW w:type="dxa" w:w="1656"/>
          </w:tcPr>
          <w:p>
            <w:r>
              <w:rPr>
                <w:sz w:val="14"/>
              </w:rPr>
              <w:t>Regulamento da Avaliação do Impacto Ambiental (Decreto n.º 54/2015)</w:t>
            </w:r>
          </w:p>
        </w:tc>
        <w:tc>
          <w:tcPr>
            <w:tcW w:type="dxa" w:w="936"/>
          </w:tcPr>
          <w:p>
            <w:r>
              <w:rPr>
                <w:sz w:val="14"/>
              </w:rPr>
              <w:t>Regulation</w:t>
            </w:r>
          </w:p>
        </w:tc>
        <w:tc>
          <w:tcPr>
            <w:tcW w:type="dxa" w:w="720"/>
          </w:tcPr>
          <w:p>
            <w:r>
              <w:rPr>
                <w:sz w:val="14"/>
              </w:rPr>
              <w:t>2015</w:t>
            </w:r>
          </w:p>
        </w:tc>
        <w:tc>
          <w:tcPr>
            <w:tcW w:type="dxa" w:w="2088"/>
          </w:tcPr>
          <w:p>
            <w:r>
              <w:rPr>
                <w:sz w:val="14"/>
              </w:rPr>
              <w:t>Regulates environmental impact assessment and licensing for projects that may cause significant environmental harm, including mitigation hierarchy.</w:t>
            </w:r>
          </w:p>
        </w:tc>
        <w:tc>
          <w:tcPr>
            <w:tcW w:type="dxa" w:w="1224"/>
          </w:tcPr>
          <w:p>
            <w:r>
              <w:rPr>
                <w:sz w:val="14"/>
              </w:rPr>
              <w:t>Industry; infrastructure; mining; energy; tourism</w:t>
            </w:r>
          </w:p>
        </w:tc>
        <w:tc>
          <w:tcPr>
            <w:tcW w:type="dxa" w:w="1152"/>
          </w:tcPr>
          <w:p>
            <w:r>
              <w:rPr>
                <w:sz w:val="14"/>
              </w:rPr>
              <w:t>Production; end-of-life (project planning)</w:t>
            </w:r>
          </w:p>
        </w:tc>
        <w:tc>
          <w:tcPr>
            <w:tcW w:type="dxa" w:w="2088"/>
          </w:tcPr>
          <w:p>
            <w:hyperlink r:id="rId16">
              <w:r>
                <w:rPr>
                  <w:color w:val="0563C1"/>
                  <w:u w:val="single"/>
                </w:rPr>
                <w:t>https://sibmoz.gov.mz/content/uploads/2022/01/1547556163-Decreto-54-2015-Regulamento-da-AIA.pdf</w:t>
              </w:r>
            </w:hyperlink>
          </w:p>
        </w:tc>
      </w:tr>
      <w:tr>
        <w:tc>
          <w:tcPr>
            <w:tcW w:type="dxa" w:w="1656"/>
          </w:tcPr>
          <w:p>
            <w:r>
              <w:rPr>
                <w:sz w:val="14"/>
              </w:rPr>
              <w:t>Environmental Audit Process Regulation (Decree No. 45/2024)</w:t>
            </w:r>
          </w:p>
        </w:tc>
        <w:tc>
          <w:tcPr>
            <w:tcW w:type="dxa" w:w="1656"/>
          </w:tcPr>
          <w:p>
            <w:r>
              <w:rPr>
                <w:sz w:val="14"/>
              </w:rPr>
              <w:t>Regulamento sobre o Processo de Auditoria Ambiental (Decreto n.º 45/2024)</w:t>
            </w:r>
          </w:p>
        </w:tc>
        <w:tc>
          <w:tcPr>
            <w:tcW w:type="dxa" w:w="936"/>
          </w:tcPr>
          <w:p>
            <w:r>
              <w:rPr>
                <w:sz w:val="14"/>
              </w:rPr>
              <w:t>Regulation</w:t>
            </w:r>
          </w:p>
        </w:tc>
        <w:tc>
          <w:tcPr>
            <w:tcW w:type="dxa" w:w="720"/>
          </w:tcPr>
          <w:p>
            <w:r>
              <w:rPr>
                <w:sz w:val="14"/>
              </w:rPr>
              <w:t>2024</w:t>
            </w:r>
          </w:p>
        </w:tc>
        <w:tc>
          <w:tcPr>
            <w:tcW w:type="dxa" w:w="2088"/>
          </w:tcPr>
          <w:p>
            <w:r>
              <w:rPr>
                <w:sz w:val="14"/>
              </w:rPr>
              <w:t>Establishes rules for environmental audits of public and private activities that may impact the environment.</w:t>
            </w:r>
          </w:p>
        </w:tc>
        <w:tc>
          <w:tcPr>
            <w:tcW w:type="dxa" w:w="1224"/>
          </w:tcPr>
          <w:p>
            <w:r>
              <w:rPr>
                <w:sz w:val="14"/>
              </w:rPr>
              <w:t>Industry; environment; public administration</w:t>
            </w:r>
          </w:p>
        </w:tc>
        <w:tc>
          <w:tcPr>
            <w:tcW w:type="dxa" w:w="1152"/>
          </w:tcPr>
          <w:p>
            <w:r>
              <w:rPr>
                <w:sz w:val="14"/>
              </w:rPr>
              <w:t>Production; end-of-life (compliance)</w:t>
            </w:r>
          </w:p>
        </w:tc>
        <w:tc>
          <w:tcPr>
            <w:tcW w:type="dxa" w:w="2088"/>
          </w:tcPr>
          <w:p>
            <w:hyperlink r:id="rId17">
              <w:r>
                <w:rPr>
                  <w:color w:val="0563C1"/>
                  <w:u w:val="single"/>
                </w:rPr>
                <w:t>https://sibmoz.gov.mz/content/uploads/2025/11/Regulamento-sobre-o-Processo-de-Auditoria-Ambiental.pdf</w:t>
              </w:r>
            </w:hyperlink>
          </w:p>
        </w:tc>
      </w:tr>
      <w:tr>
        <w:tc>
          <w:tcPr>
            <w:tcW w:type="dxa" w:w="1656"/>
          </w:tcPr>
          <w:p>
            <w:r>
              <w:rPr>
                <w:sz w:val="14"/>
              </w:rPr>
              <w:t>Sea Policy and Strategy – POLMAR (Resolution No. 39/2017)</w:t>
            </w:r>
          </w:p>
        </w:tc>
        <w:tc>
          <w:tcPr>
            <w:tcW w:type="dxa" w:w="1656"/>
          </w:tcPr>
          <w:p>
            <w:r>
              <w:rPr>
                <w:sz w:val="14"/>
              </w:rPr>
              <w:t>Política e Estratégia do Mar – POLMAR (Resolução n.º 39/2017)</w:t>
            </w:r>
          </w:p>
        </w:tc>
        <w:tc>
          <w:tcPr>
            <w:tcW w:type="dxa" w:w="936"/>
          </w:tcPr>
          <w:p>
            <w:r>
              <w:rPr>
                <w:sz w:val="14"/>
              </w:rPr>
              <w:t>Policy / Strategy</w:t>
            </w:r>
          </w:p>
        </w:tc>
        <w:tc>
          <w:tcPr>
            <w:tcW w:type="dxa" w:w="720"/>
          </w:tcPr>
          <w:p>
            <w:r>
              <w:rPr>
                <w:sz w:val="14"/>
              </w:rPr>
              <w:t>2017</w:t>
            </w:r>
          </w:p>
        </w:tc>
        <w:tc>
          <w:tcPr>
            <w:tcW w:type="dxa" w:w="2088"/>
          </w:tcPr>
          <w:p>
            <w:r>
              <w:rPr>
                <w:sz w:val="14"/>
              </w:rPr>
              <w:t>National sea policy and implementation strategy guiding sustainable, integrated use of maritime and coastal spaces and blue-economy development.</w:t>
            </w:r>
          </w:p>
        </w:tc>
        <w:tc>
          <w:tcPr>
            <w:tcW w:type="dxa" w:w="1224"/>
          </w:tcPr>
          <w:p>
            <w:r>
              <w:rPr>
                <w:sz w:val="14"/>
              </w:rPr>
              <w:t>Maritime; fisheries; tourism; ports; environment</w:t>
            </w:r>
          </w:p>
        </w:tc>
        <w:tc>
          <w:tcPr>
            <w:tcW w:type="dxa" w:w="1152"/>
          </w:tcPr>
          <w:p>
            <w:r>
              <w:rPr>
                <w:sz w:val="14"/>
              </w:rPr>
              <w:t>All stages (marine/coastal framework)</w:t>
            </w:r>
          </w:p>
        </w:tc>
        <w:tc>
          <w:tcPr>
            <w:tcW w:type="dxa" w:w="2088"/>
          </w:tcPr>
          <w:p>
            <w:hyperlink r:id="rId18">
              <w:r>
                <w:rPr>
                  <w:color w:val="0563C1"/>
                  <w:u w:val="single"/>
                </w:rPr>
                <w:t>https://www.proazul.gov.mz/wp-content/uploads/2023/10/POLITICA-E-ESTRATEGIA-DO-MAR-POLMAR-1.pdf</w:t>
              </w:r>
            </w:hyperlink>
          </w:p>
        </w:tc>
      </w:tr>
      <w:tr>
        <w:tc>
          <w:tcPr>
            <w:tcW w:type="dxa" w:w="1656"/>
          </w:tcPr>
          <w:p>
            <w:r>
              <w:rPr>
                <w:sz w:val="14"/>
              </w:rPr>
              <w:t>Sea Law (Law No. 20/2019)</w:t>
            </w:r>
          </w:p>
        </w:tc>
        <w:tc>
          <w:tcPr>
            <w:tcW w:type="dxa" w:w="1656"/>
          </w:tcPr>
          <w:p>
            <w:r>
              <w:rPr>
                <w:sz w:val="14"/>
              </w:rPr>
              <w:t>Lei do Mar (Lei n.º 20/2019)</w:t>
            </w:r>
          </w:p>
        </w:tc>
        <w:tc>
          <w:tcPr>
            <w:tcW w:type="dxa" w:w="936"/>
          </w:tcPr>
          <w:p>
            <w:r>
              <w:rPr>
                <w:sz w:val="14"/>
              </w:rPr>
              <w:t>Law</w:t>
            </w:r>
          </w:p>
        </w:tc>
        <w:tc>
          <w:tcPr>
            <w:tcW w:type="dxa" w:w="720"/>
          </w:tcPr>
          <w:p>
            <w:r>
              <w:rPr>
                <w:sz w:val="14"/>
              </w:rPr>
              <w:t>2019</w:t>
            </w:r>
          </w:p>
        </w:tc>
        <w:tc>
          <w:tcPr>
            <w:tcW w:type="dxa" w:w="2088"/>
          </w:tcPr>
          <w:p>
            <w:r>
              <w:rPr>
                <w:sz w:val="14"/>
              </w:rPr>
              <w:t>Legal regime for sovereignty, jurisdiction, exploitation of marine resources, and use of national maritime public domain.</w:t>
            </w:r>
          </w:p>
        </w:tc>
        <w:tc>
          <w:tcPr>
            <w:tcW w:type="dxa" w:w="1224"/>
          </w:tcPr>
          <w:p>
            <w:r>
              <w:rPr>
                <w:sz w:val="14"/>
              </w:rPr>
              <w:t>Maritime; fisheries; mining; transport</w:t>
            </w:r>
          </w:p>
        </w:tc>
        <w:tc>
          <w:tcPr>
            <w:tcW w:type="dxa" w:w="1152"/>
          </w:tcPr>
          <w:p>
            <w:r>
              <w:rPr>
                <w:sz w:val="14"/>
              </w:rPr>
              <w:t>All stages (marine framework)</w:t>
            </w:r>
          </w:p>
        </w:tc>
        <w:tc>
          <w:tcPr>
            <w:tcW w:type="dxa" w:w="2088"/>
          </w:tcPr>
          <w:p>
            <w:hyperlink r:id="rId19">
              <w:r>
                <w:rPr>
                  <w:color w:val="0563C1"/>
                  <w:u w:val="single"/>
                </w:rPr>
                <w:t>https://sibmoz.gov.mz/content/uploads/2022/01/Lei-do-Mar.pdf</w:t>
              </w:r>
            </w:hyperlink>
          </w:p>
        </w:tc>
      </w:tr>
      <w:tr>
        <w:tc>
          <w:tcPr>
            <w:tcW w:type="dxa" w:w="1656"/>
          </w:tcPr>
          <w:p>
            <w:r>
              <w:rPr>
                <w:sz w:val="14"/>
              </w:rPr>
              <w:t>Coastal Zone and Beaches Management Regulation (Decree No. 97/2020)</w:t>
            </w:r>
          </w:p>
        </w:tc>
        <w:tc>
          <w:tcPr>
            <w:tcW w:type="dxa" w:w="1656"/>
          </w:tcPr>
          <w:p>
            <w:r>
              <w:rPr>
                <w:sz w:val="14"/>
              </w:rPr>
              <w:t>Regulamento de Gestão e Ordenamento da Zona Costeira e das Praias (Decreto n.º 97/2020)</w:t>
            </w:r>
          </w:p>
        </w:tc>
        <w:tc>
          <w:tcPr>
            <w:tcW w:type="dxa" w:w="936"/>
          </w:tcPr>
          <w:p>
            <w:r>
              <w:rPr>
                <w:sz w:val="14"/>
              </w:rPr>
              <w:t>Regulation</w:t>
            </w:r>
          </w:p>
        </w:tc>
        <w:tc>
          <w:tcPr>
            <w:tcW w:type="dxa" w:w="720"/>
          </w:tcPr>
          <w:p>
            <w:r>
              <w:rPr>
                <w:sz w:val="14"/>
              </w:rPr>
              <w:t>2020</w:t>
            </w:r>
          </w:p>
        </w:tc>
        <w:tc>
          <w:tcPr>
            <w:tcW w:type="dxa" w:w="2088"/>
          </w:tcPr>
          <w:p>
            <w:r>
              <w:rPr>
                <w:sz w:val="14"/>
              </w:rPr>
              <w:t>Defines principles and norms for integrated, sustainable management and development of coastal zones and beaches nationwide.</w:t>
            </w:r>
          </w:p>
        </w:tc>
        <w:tc>
          <w:tcPr>
            <w:tcW w:type="dxa" w:w="1224"/>
          </w:tcPr>
          <w:p>
            <w:r>
              <w:rPr>
                <w:sz w:val="14"/>
              </w:rPr>
              <w:t>Municipalities; tourism; fisheries; environment</w:t>
            </w:r>
          </w:p>
        </w:tc>
        <w:tc>
          <w:tcPr>
            <w:tcW w:type="dxa" w:w="1152"/>
          </w:tcPr>
          <w:p>
            <w:r>
              <w:rPr>
                <w:sz w:val="14"/>
              </w:rPr>
              <w:t>Distribution; end-of-life</w:t>
            </w:r>
          </w:p>
        </w:tc>
        <w:tc>
          <w:tcPr>
            <w:tcW w:type="dxa" w:w="2088"/>
          </w:tcPr>
          <w:p>
            <w:hyperlink r:id="rId20">
              <w:r>
                <w:rPr>
                  <w:color w:val="0563C1"/>
                  <w:u w:val="single"/>
                </w:rPr>
                <w:t>https://sibmoz.gov.mz/content/uploads/2022/06/Regulamento-Zonas-costeiras.pdf</w:t>
              </w:r>
            </w:hyperlink>
          </w:p>
        </w:tc>
      </w:tr>
      <w:tr>
        <w:tc>
          <w:tcPr>
            <w:tcW w:type="dxa" w:w="1656"/>
          </w:tcPr>
          <w:p>
            <w:r>
              <w:rPr>
                <w:sz w:val="14"/>
              </w:rPr>
              <w:t>National Maritime Spatial Plan – POEM (Resolution No. 63/2024)</w:t>
            </w:r>
          </w:p>
        </w:tc>
        <w:tc>
          <w:tcPr>
            <w:tcW w:type="dxa" w:w="1656"/>
          </w:tcPr>
          <w:p>
            <w:r>
              <w:rPr>
                <w:sz w:val="14"/>
              </w:rPr>
              <w:t>Plano Nacional de Ordenamento do Espaço Marítimo – POEM (Resolução n.º 63/2024)</w:t>
            </w:r>
          </w:p>
        </w:tc>
        <w:tc>
          <w:tcPr>
            <w:tcW w:type="dxa" w:w="936"/>
          </w:tcPr>
          <w:p>
            <w:r>
              <w:rPr>
                <w:sz w:val="14"/>
              </w:rPr>
              <w:t>Plan</w:t>
            </w:r>
          </w:p>
        </w:tc>
        <w:tc>
          <w:tcPr>
            <w:tcW w:type="dxa" w:w="720"/>
          </w:tcPr>
          <w:p>
            <w:r>
              <w:rPr>
                <w:sz w:val="14"/>
              </w:rPr>
              <w:t>2024</w:t>
            </w:r>
          </w:p>
        </w:tc>
        <w:tc>
          <w:tcPr>
            <w:tcW w:type="dxa" w:w="2088"/>
          </w:tcPr>
          <w:p>
            <w:r>
              <w:rPr>
                <w:sz w:val="14"/>
              </w:rPr>
              <w:t>Approves national maritime spatial plan to coordinate competing sea uses, minimise environmental impacts, and support sustainable maritime economies.</w:t>
            </w:r>
          </w:p>
        </w:tc>
        <w:tc>
          <w:tcPr>
            <w:tcW w:type="dxa" w:w="1224"/>
          </w:tcPr>
          <w:p>
            <w:r>
              <w:rPr>
                <w:sz w:val="14"/>
              </w:rPr>
              <w:t>Maritime; fisheries; energy; transport; environment</w:t>
            </w:r>
          </w:p>
        </w:tc>
        <w:tc>
          <w:tcPr>
            <w:tcW w:type="dxa" w:w="1152"/>
          </w:tcPr>
          <w:p>
            <w:r>
              <w:rPr>
                <w:sz w:val="14"/>
              </w:rPr>
              <w:t>All stages (marine planning)</w:t>
            </w:r>
          </w:p>
        </w:tc>
        <w:tc>
          <w:tcPr>
            <w:tcW w:type="dxa" w:w="2088"/>
          </w:tcPr>
          <w:p>
            <w:hyperlink r:id="rId21">
              <w:r>
                <w:rPr>
                  <w:color w:val="0563C1"/>
                  <w:u w:val="single"/>
                </w:rPr>
                <w:t>https://sibmoz.gov.mz/content/uploads/2025/11/Resolucao-n.o-63_2024-que-aprova-o-Plano-de-Ordenamento-do-Espaco-Maritimo.pdf</w:t>
              </w:r>
            </w:hyperlink>
          </w:p>
        </w:tc>
      </w:tr>
      <w:tr>
        <w:tc>
          <w:tcPr>
            <w:tcW w:type="dxa" w:w="1656"/>
          </w:tcPr>
          <w:p>
            <w:r>
              <w:rPr>
                <w:sz w:val="14"/>
              </w:rPr>
              <w:t>Blue Economy Development Strategy – EDEA (Resolution No. 53/2024)</w:t>
            </w:r>
          </w:p>
        </w:tc>
        <w:tc>
          <w:tcPr>
            <w:tcW w:type="dxa" w:w="1656"/>
          </w:tcPr>
          <w:p>
            <w:r>
              <w:rPr>
                <w:sz w:val="14"/>
              </w:rPr>
              <w:t>Estratégia de Desenvolvimento da Economia Azul – EDEA (Resolução n.º 53/2024)</w:t>
            </w:r>
          </w:p>
        </w:tc>
        <w:tc>
          <w:tcPr>
            <w:tcW w:type="dxa" w:w="936"/>
          </w:tcPr>
          <w:p>
            <w:r>
              <w:rPr>
                <w:sz w:val="14"/>
              </w:rPr>
              <w:t>Strategy</w:t>
            </w:r>
          </w:p>
        </w:tc>
        <w:tc>
          <w:tcPr>
            <w:tcW w:type="dxa" w:w="720"/>
          </w:tcPr>
          <w:p>
            <w:r>
              <w:rPr>
                <w:sz w:val="14"/>
              </w:rPr>
              <w:t>2024</w:t>
            </w:r>
          </w:p>
        </w:tc>
        <w:tc>
          <w:tcPr>
            <w:tcW w:type="dxa" w:w="2088"/>
          </w:tcPr>
          <w:p>
            <w:r>
              <w:rPr>
                <w:sz w:val="14"/>
              </w:rPr>
              <w:t>National blue-economy strategy (2024–2033) promoting sustainable use of marine resources, circular economy, waste valorisation, and targets to reduce plastic production, import, and use.</w:t>
            </w:r>
          </w:p>
        </w:tc>
        <w:tc>
          <w:tcPr>
            <w:tcW w:type="dxa" w:w="1224"/>
          </w:tcPr>
          <w:p>
            <w:r>
              <w:rPr>
                <w:sz w:val="14"/>
              </w:rPr>
              <w:t>Maritime; fisheries; industry; tourism; environment</w:t>
            </w:r>
          </w:p>
        </w:tc>
        <w:tc>
          <w:tcPr>
            <w:tcW w:type="dxa" w:w="1152"/>
          </w:tcPr>
          <w:p>
            <w:r>
              <w:rPr>
                <w:sz w:val="14"/>
              </w:rPr>
              <w:t>Production; distribution; end-of-life</w:t>
            </w:r>
          </w:p>
        </w:tc>
        <w:tc>
          <w:tcPr>
            <w:tcW w:type="dxa" w:w="2088"/>
          </w:tcPr>
          <w:p>
            <w:hyperlink r:id="rId22">
              <w:r>
                <w:rPr>
                  <w:color w:val="0563C1"/>
                  <w:u w:val="single"/>
                </w:rPr>
                <w:t>https://www.proazul.gov.mz/wp-content/uploads/2024/11/EDEA-ESTRATEGIA-DE-DESENVOLVIMENTO-DA-ECONOMIA-AZUL-_FINAL_TYPO_PRINT_WEB.pdf</w:t>
              </w:r>
            </w:hyperlink>
          </w:p>
        </w:tc>
      </w:tr>
      <w:tr>
        <w:tc>
          <w:tcPr>
            <w:tcW w:type="dxa" w:w="1656"/>
          </w:tcPr>
          <w:p>
            <w:r>
              <w:rPr>
                <w:sz w:val="14"/>
              </w:rPr>
              <w:t>Integrated Coastal Zone Management Strategy (2016–2025)</w:t>
            </w:r>
          </w:p>
        </w:tc>
        <w:tc>
          <w:tcPr>
            <w:tcW w:type="dxa" w:w="1656"/>
          </w:tcPr>
          <w:p>
            <w:r>
              <w:rPr>
                <w:sz w:val="14"/>
              </w:rPr>
              <w:t>Estratégia de Gestão Integrada das Zonas Costeiras (2016–2025)</w:t>
            </w:r>
          </w:p>
        </w:tc>
        <w:tc>
          <w:tcPr>
            <w:tcW w:type="dxa" w:w="936"/>
          </w:tcPr>
          <w:p>
            <w:r>
              <w:rPr>
                <w:sz w:val="14"/>
              </w:rPr>
              <w:t>Strategy</w:t>
            </w:r>
          </w:p>
        </w:tc>
        <w:tc>
          <w:tcPr>
            <w:tcW w:type="dxa" w:w="720"/>
          </w:tcPr>
          <w:p>
            <w:r>
              <w:rPr>
                <w:sz w:val="14"/>
              </w:rPr>
              <w:t>2016</w:t>
            </w:r>
          </w:p>
        </w:tc>
        <w:tc>
          <w:tcPr>
            <w:tcW w:type="dxa" w:w="2088"/>
          </w:tcPr>
          <w:p>
            <w:r>
              <w:rPr>
                <w:sz w:val="14"/>
              </w:rPr>
              <w:t>Integrated coastal zone management action plan addressing erosion, climate vulnerability, and sustainable use of coastal resources linked to marine pollution pressures.</w:t>
            </w:r>
          </w:p>
        </w:tc>
        <w:tc>
          <w:tcPr>
            <w:tcW w:type="dxa" w:w="1224"/>
          </w:tcPr>
          <w:p>
            <w:r>
              <w:rPr>
                <w:sz w:val="14"/>
              </w:rPr>
              <w:t>Municipalities; fisheries; tourism; environment</w:t>
            </w:r>
          </w:p>
        </w:tc>
        <w:tc>
          <w:tcPr>
            <w:tcW w:type="dxa" w:w="1152"/>
          </w:tcPr>
          <w:p>
            <w:r>
              <w:rPr>
                <w:sz w:val="14"/>
              </w:rPr>
              <w:t>Distribution; end-of-life</w:t>
            </w:r>
          </w:p>
        </w:tc>
        <w:tc>
          <w:tcPr>
            <w:tcW w:type="dxa" w:w="2088"/>
          </w:tcPr>
          <w:p>
            <w:r>
              <w:rPr>
                <w:sz w:val="14"/>
              </w:rPr>
              <w:t>No standalone official PDF identified on publicly accessible government portals (listed on sibmoz.gov.mz, June 2026).</w:t>
            </w:r>
          </w:p>
        </w:tc>
      </w:tr>
      <w:tr>
        <w:tc>
          <w:tcPr>
            <w:tcW w:type="dxa" w:w="1656"/>
          </w:tcPr>
          <w:p>
            <w:r>
              <w:rPr>
                <w:sz w:val="14"/>
              </w:rPr>
              <w:t>National Coral Reef Management and Conservation Strategy (2022–2032; Resolution No. 51/2022)</w:t>
            </w:r>
          </w:p>
        </w:tc>
        <w:tc>
          <w:tcPr>
            <w:tcW w:type="dxa" w:w="1656"/>
          </w:tcPr>
          <w:p>
            <w:r>
              <w:rPr>
                <w:sz w:val="14"/>
              </w:rPr>
              <w:t>Estratégia Nacional de Gestão e Conservação dos Corais (2020–2030; Resolução n.º 51/2022)</w:t>
            </w:r>
          </w:p>
        </w:tc>
        <w:tc>
          <w:tcPr>
            <w:tcW w:type="dxa" w:w="936"/>
          </w:tcPr>
          <w:p>
            <w:r>
              <w:rPr>
                <w:sz w:val="14"/>
              </w:rPr>
              <w:t>Strategy</w:t>
            </w:r>
          </w:p>
        </w:tc>
        <w:tc>
          <w:tcPr>
            <w:tcW w:type="dxa" w:w="720"/>
          </w:tcPr>
          <w:p>
            <w:r>
              <w:rPr>
                <w:sz w:val="14"/>
              </w:rPr>
              <w:t>2022</w:t>
            </w:r>
          </w:p>
        </w:tc>
        <w:tc>
          <w:tcPr>
            <w:tcW w:type="dxa" w:w="2088"/>
          </w:tcPr>
          <w:p>
            <w:r>
              <w:rPr>
                <w:sz w:val="14"/>
              </w:rPr>
              <w:t>National strategy to protect coral reef ecological integrity and resilience by reducing anthropogenic degradation, including marine litter and pollution pressures.</w:t>
            </w:r>
          </w:p>
        </w:tc>
        <w:tc>
          <w:tcPr>
            <w:tcW w:type="dxa" w:w="1224"/>
          </w:tcPr>
          <w:p>
            <w:r>
              <w:rPr>
                <w:sz w:val="14"/>
              </w:rPr>
              <w:t>Fisheries; environment; tourism; maritime</w:t>
            </w:r>
          </w:p>
        </w:tc>
        <w:tc>
          <w:tcPr>
            <w:tcW w:type="dxa" w:w="1152"/>
          </w:tcPr>
          <w:p>
            <w:r>
              <w:rPr>
                <w:sz w:val="14"/>
              </w:rPr>
              <w:t>End-of-life (marine leakage)</w:t>
            </w:r>
          </w:p>
        </w:tc>
        <w:tc>
          <w:tcPr>
            <w:tcW w:type="dxa" w:w="2088"/>
          </w:tcPr>
          <w:p>
            <w:hyperlink r:id="rId23">
              <w:r>
                <w:rPr>
                  <w:color w:val="0563C1"/>
                  <w:u w:val="single"/>
                </w:rPr>
                <w:t>https://faolex.fao.org/docs/pdf/moz214814.pdf</w:t>
              </w:r>
            </w:hyperlink>
          </w:p>
        </w:tc>
      </w:tr>
      <w:tr>
        <w:tc>
          <w:tcPr>
            <w:tcW w:type="dxa" w:w="1656"/>
          </w:tcPr>
          <w:p>
            <w:r>
              <w:rPr>
                <w:sz w:val="14"/>
              </w:rPr>
              <w:t>National Health Policy and Implementation Strategy (Resolution No. 13/2021)</w:t>
            </w:r>
          </w:p>
        </w:tc>
        <w:tc>
          <w:tcPr>
            <w:tcW w:type="dxa" w:w="1656"/>
          </w:tcPr>
          <w:p>
            <w:r>
              <w:rPr>
                <w:sz w:val="14"/>
              </w:rPr>
              <w:t>Política de Saúde e Estratégia de Implementação (Resolução n.º 13/2021)</w:t>
            </w:r>
          </w:p>
        </w:tc>
        <w:tc>
          <w:tcPr>
            <w:tcW w:type="dxa" w:w="936"/>
          </w:tcPr>
          <w:p>
            <w:r>
              <w:rPr>
                <w:sz w:val="14"/>
              </w:rPr>
              <w:t>Policy</w:t>
            </w:r>
          </w:p>
        </w:tc>
        <w:tc>
          <w:tcPr>
            <w:tcW w:type="dxa" w:w="720"/>
          </w:tcPr>
          <w:p>
            <w:r>
              <w:rPr>
                <w:sz w:val="14"/>
              </w:rPr>
              <w:t>2021</w:t>
            </w:r>
          </w:p>
        </w:tc>
        <w:tc>
          <w:tcPr>
            <w:tcW w:type="dxa" w:w="2088"/>
          </w:tcPr>
          <w:p>
            <w:r>
              <w:rPr>
                <w:sz w:val="14"/>
              </w:rPr>
              <w:t>National health policy including strategies to expand basic sanitation and manage solid waste pressures linked to rapid urbanisation and public health.</w:t>
            </w:r>
          </w:p>
        </w:tc>
        <w:tc>
          <w:tcPr>
            <w:tcW w:type="dxa" w:w="1224"/>
          </w:tcPr>
          <w:p>
            <w:r>
              <w:rPr>
                <w:sz w:val="14"/>
              </w:rPr>
              <w:t>Health; municipalities; environment</w:t>
            </w:r>
          </w:p>
        </w:tc>
        <w:tc>
          <w:tcPr>
            <w:tcW w:type="dxa" w:w="1152"/>
          </w:tcPr>
          <w:p>
            <w:r>
              <w:rPr>
                <w:sz w:val="14"/>
              </w:rPr>
              <w:t>End-of-life (sanitation/waste)</w:t>
            </w:r>
          </w:p>
        </w:tc>
        <w:tc>
          <w:tcPr>
            <w:tcW w:type="dxa" w:w="2088"/>
          </w:tcPr>
          <w:p>
            <w:hyperlink r:id="rId24">
              <w:r>
                <w:rPr>
                  <w:color w:val="0563C1"/>
                  <w:u w:val="single"/>
                </w:rPr>
                <w:t>https://sisma.misau.gov.mz/docs/Politica%20Nacional%20de%20Saude.pdf</w:t>
              </w:r>
            </w:hyperlink>
          </w:p>
        </w:tc>
      </w:tr>
      <w:tr>
        <w:tc>
          <w:tcPr>
            <w:tcW w:type="dxa" w:w="1656"/>
          </w:tcPr>
          <w:p>
            <w:r>
              <w:rPr>
                <w:sz w:val="14"/>
              </w:rPr>
              <w:t>National Territorial Development Plan (Resolution No. 7/2021)</w:t>
            </w:r>
          </w:p>
        </w:tc>
        <w:tc>
          <w:tcPr>
            <w:tcW w:type="dxa" w:w="1656"/>
          </w:tcPr>
          <w:p>
            <w:r>
              <w:rPr>
                <w:sz w:val="14"/>
              </w:rPr>
              <w:t>Plano Nacional de Desenvolvimento Territorial (Resolução n.º 7/2021)</w:t>
            </w:r>
          </w:p>
        </w:tc>
        <w:tc>
          <w:tcPr>
            <w:tcW w:type="dxa" w:w="936"/>
          </w:tcPr>
          <w:p>
            <w:r>
              <w:rPr>
                <w:sz w:val="14"/>
              </w:rPr>
              <w:t>Plan</w:t>
            </w:r>
          </w:p>
        </w:tc>
        <w:tc>
          <w:tcPr>
            <w:tcW w:type="dxa" w:w="720"/>
          </w:tcPr>
          <w:p>
            <w:r>
              <w:rPr>
                <w:sz w:val="14"/>
              </w:rPr>
              <w:t>2021</w:t>
            </w:r>
          </w:p>
        </w:tc>
        <w:tc>
          <w:tcPr>
            <w:tcW w:type="dxa" w:w="2088"/>
          </w:tcPr>
          <w:p>
            <w:r>
              <w:rPr>
                <w:sz w:val="14"/>
              </w:rPr>
              <w:t>Approves national territorial development plan and action plan, guiding sustainable land use, urban growth, and environmental balance at national and subnational levels.</w:t>
            </w:r>
          </w:p>
        </w:tc>
        <w:tc>
          <w:tcPr>
            <w:tcW w:type="dxa" w:w="1224"/>
          </w:tcPr>
          <w:p>
            <w:r>
              <w:rPr>
                <w:sz w:val="14"/>
              </w:rPr>
              <w:t>Urban planning; municipalities; environment; infrastructure</w:t>
            </w:r>
          </w:p>
        </w:tc>
        <w:tc>
          <w:tcPr>
            <w:tcW w:type="dxa" w:w="1152"/>
          </w:tcPr>
          <w:p>
            <w:r>
              <w:rPr>
                <w:sz w:val="14"/>
              </w:rPr>
              <w:t>All stages (spatial planning)</w:t>
            </w:r>
          </w:p>
        </w:tc>
        <w:tc>
          <w:tcPr>
            <w:tcW w:type="dxa" w:w="2088"/>
          </w:tcPr>
          <w:p>
            <w:hyperlink r:id="rId25">
              <w:r>
                <w:rPr>
                  <w:color w:val="0563C1"/>
                  <w:u w:val="single"/>
                </w:rPr>
                <w:t>https://sibmoz.gov.mz/content/uploads/2022/06/Plano-Nacional-de-Desenvolvimento-Territorial-1.pdf</w:t>
              </w:r>
            </w:hyperlink>
          </w:p>
        </w:tc>
      </w:tr>
      <w:tr>
        <w:tc>
          <w:tcPr>
            <w:tcW w:type="dxa" w:w="1656"/>
          </w:tcPr>
          <w:p>
            <w:r>
              <w:rPr>
                <w:sz w:val="14"/>
              </w:rPr>
              <w:t>Territorial Planning Law (Law No. 19/2007)</w:t>
            </w:r>
          </w:p>
        </w:tc>
        <w:tc>
          <w:tcPr>
            <w:tcW w:type="dxa" w:w="1656"/>
          </w:tcPr>
          <w:p>
            <w:r>
              <w:rPr>
                <w:sz w:val="14"/>
              </w:rPr>
              <w:t>Lei do Ordenamento do Território (Lei n.º 19/2007)</w:t>
            </w:r>
          </w:p>
        </w:tc>
        <w:tc>
          <w:tcPr>
            <w:tcW w:type="dxa" w:w="936"/>
          </w:tcPr>
          <w:p>
            <w:r>
              <w:rPr>
                <w:sz w:val="14"/>
              </w:rPr>
              <w:t>Law</w:t>
            </w:r>
          </w:p>
        </w:tc>
        <w:tc>
          <w:tcPr>
            <w:tcW w:type="dxa" w:w="720"/>
          </w:tcPr>
          <w:p>
            <w:r>
              <w:rPr>
                <w:sz w:val="14"/>
              </w:rPr>
              <w:t>2007</w:t>
            </w:r>
          </w:p>
        </w:tc>
        <w:tc>
          <w:tcPr>
            <w:tcW w:type="dxa" w:w="2088"/>
          </w:tcPr>
          <w:p>
            <w:r>
              <w:rPr>
                <w:sz w:val="14"/>
              </w:rPr>
              <w:t>Territorial planning law promoting rational and sustainable use of natural resources, environmental balance, and quality of life in national development.</w:t>
            </w:r>
          </w:p>
        </w:tc>
        <w:tc>
          <w:tcPr>
            <w:tcW w:type="dxa" w:w="1224"/>
          </w:tcPr>
          <w:p>
            <w:r>
              <w:rPr>
                <w:sz w:val="14"/>
              </w:rPr>
              <w:t>Urban planning; municipalities; environment; infrastructure</w:t>
            </w:r>
          </w:p>
        </w:tc>
        <w:tc>
          <w:tcPr>
            <w:tcW w:type="dxa" w:w="1152"/>
          </w:tcPr>
          <w:p>
            <w:r>
              <w:rPr>
                <w:sz w:val="14"/>
              </w:rPr>
              <w:t>All stages (planning framework)</w:t>
            </w:r>
          </w:p>
        </w:tc>
        <w:tc>
          <w:tcPr>
            <w:tcW w:type="dxa" w:w="2088"/>
          </w:tcPr>
          <w:p>
            <w:hyperlink r:id="rId26">
              <w:r>
                <w:rPr>
                  <w:color w:val="0563C1"/>
                  <w:u w:val="single"/>
                </w:rPr>
                <w:t>https://sibmoz.gov.mz/content/uploads/2022/01/Lei-do-ordenamento-territorial.pdf</w:t>
              </w:r>
            </w:hyperlink>
          </w:p>
        </w:tc>
      </w:tr>
      <w:tr>
        <w:tc>
          <w:tcPr>
            <w:tcW w:type="dxa" w:w="1656"/>
          </w:tcPr>
          <w:p>
            <w:r>
              <w:rPr>
                <w:sz w:val="14"/>
              </w:rPr>
              <w:t>Territorial Planning Law Regulation (Decree No. 23/2008)</w:t>
            </w:r>
          </w:p>
        </w:tc>
        <w:tc>
          <w:tcPr>
            <w:tcW w:type="dxa" w:w="1656"/>
          </w:tcPr>
          <w:p>
            <w:r>
              <w:rPr>
                <w:sz w:val="14"/>
              </w:rPr>
              <w:t>Regulamento da Lei de Ordenamento do Território (Decreto n.º 23/2008)</w:t>
            </w:r>
          </w:p>
        </w:tc>
        <w:tc>
          <w:tcPr>
            <w:tcW w:type="dxa" w:w="936"/>
          </w:tcPr>
          <w:p>
            <w:r>
              <w:rPr>
                <w:sz w:val="14"/>
              </w:rPr>
              <w:t>Regulation</w:t>
            </w:r>
          </w:p>
        </w:tc>
        <w:tc>
          <w:tcPr>
            <w:tcW w:type="dxa" w:w="720"/>
          </w:tcPr>
          <w:p>
            <w:r>
              <w:rPr>
                <w:sz w:val="14"/>
              </w:rPr>
              <w:t>2008</w:t>
            </w:r>
          </w:p>
        </w:tc>
        <w:tc>
          <w:tcPr>
            <w:tcW w:type="dxa" w:w="2088"/>
          </w:tcPr>
          <w:p>
            <w:r>
              <w:rPr>
                <w:sz w:val="14"/>
              </w:rPr>
              <w:t>Regulates territorial occupation and sustainable land use through national, provincial, district, and municipal planning instruments.</w:t>
            </w:r>
          </w:p>
        </w:tc>
        <w:tc>
          <w:tcPr>
            <w:tcW w:type="dxa" w:w="1224"/>
          </w:tcPr>
          <w:p>
            <w:r>
              <w:rPr>
                <w:sz w:val="14"/>
              </w:rPr>
              <w:t>Municipalities; urban planning; environment</w:t>
            </w:r>
          </w:p>
        </w:tc>
        <w:tc>
          <w:tcPr>
            <w:tcW w:type="dxa" w:w="1152"/>
          </w:tcPr>
          <w:p>
            <w:r>
              <w:rPr>
                <w:sz w:val="14"/>
              </w:rPr>
              <w:t>All stages (subnational planning)</w:t>
            </w:r>
          </w:p>
        </w:tc>
        <w:tc>
          <w:tcPr>
            <w:tcW w:type="dxa" w:w="2088"/>
          </w:tcPr>
          <w:p>
            <w:hyperlink r:id="rId27">
              <w:r>
                <w:rPr>
                  <w:color w:val="0563C1"/>
                  <w:u w:val="single"/>
                </w:rPr>
                <w:t>https://sibmoz.gov.mz/content/uploads/2025/11/Decreto-n.o-23_2008_Regulamento-da-Lei-de-Ordenamento-do-Territorio.pdf</w:t>
              </w:r>
            </w:hyperlink>
          </w:p>
        </w:tc>
      </w:tr>
    </w:tbl>
    <w:p>
      <w:r>
        <w:rPr>
          <w:sz w:val="14"/>
        </w:rPr>
        <w:t>Note: Where a standalone full-text PDF is not published on a .gov.mz portal, the link column states that no direct official PDF was found. Where indicated, links use official Boletim da República compilations (gpa.co.mz, faolex.fao.org) hosting the full legal text. PDFs on sibmoz.gov.mz and proazul.gov.mz are official government publications.</w:t>
      </w:r>
    </w:p>
    <w:sectPr w:rsidR="00FC693F" w:rsidRPr="0006063C" w:rsidSect="00034616">
      <w:pgSz w:w="12240" w:h="15840"/>
      <w:pgMar w:top="1440" w:right="576" w:bottom="1440"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ibmoz.gov.mz/content/uploads/2022/01/1547563349-Lei-do-Ambiente.pdf" TargetMode="External"/><Relationship Id="rId10" Type="http://schemas.openxmlformats.org/officeDocument/2006/relationships/hyperlink" Target="https://sibmoz.gov.mz/content/uploads/2022/01/Regulamento-Sobre-a-Gestao-e-Controlo-do-Saco-de-Plastico.pdf" TargetMode="External"/><Relationship Id="rId11" Type="http://schemas.openxmlformats.org/officeDocument/2006/relationships/hyperlink" Target="https://gpa.co.mz/wp-content/uploads/2023/08/REGULAMENTO-DA-LEI-DA-CONCORRENCIA_2014-1.pdf" TargetMode="External"/><Relationship Id="rId12" Type="http://schemas.openxmlformats.org/officeDocument/2006/relationships/hyperlink" Target="https://sibmoz.gov.mz/content/uploads/2022/01/Aprova-o-Regulamento-sobre-Gestao-de-Residuos-perigosos-e-os-respectivos-anexos.pdf" TargetMode="External"/><Relationship Id="rId13" Type="http://schemas.openxmlformats.org/officeDocument/2006/relationships/hyperlink" Target="https://sibmoz.gov.mz/content/uploads/2022/01/Regulamento-sobre-Padroes-de-Qualidade-Ambiental-e-de-Emissao-de-Efluentes.pdf" TargetMode="External"/><Relationship Id="rId14" Type="http://schemas.openxmlformats.org/officeDocument/2006/relationships/hyperlink" Target="https://sibmoz.gov.mz/content/uploads/2022/01/1547623391-Regulamento-sobre-a-Prevencao-da-Poluicao-ea-Proteccao-Ambiente-Marinho-e-Costeiro-Decreto-45-barra-2006.pdf" TargetMode="External"/><Relationship Id="rId15" Type="http://schemas.openxmlformats.org/officeDocument/2006/relationships/hyperlink" Target="https://sibmoz.gov.mz/content/uploads/2025/11/Regulamento-de-fiscalizac%CC%A7a%CC%83o-ambiental.pdf" TargetMode="External"/><Relationship Id="rId16" Type="http://schemas.openxmlformats.org/officeDocument/2006/relationships/hyperlink" Target="https://sibmoz.gov.mz/content/uploads/2022/01/1547556163-Decreto-54-2015-Regulamento-da-AIA.pdf" TargetMode="External"/><Relationship Id="rId17" Type="http://schemas.openxmlformats.org/officeDocument/2006/relationships/hyperlink" Target="https://sibmoz.gov.mz/content/uploads/2025/11/Regulamento-sobre-o-Processo-de-Auditoria-Ambiental.pdf" TargetMode="External"/><Relationship Id="rId18" Type="http://schemas.openxmlformats.org/officeDocument/2006/relationships/hyperlink" Target="https://www.proazul.gov.mz/wp-content/uploads/2023/10/POLITICA-E-ESTRATEGIA-DO-MAR-POLMAR-1.pdf" TargetMode="External"/><Relationship Id="rId19" Type="http://schemas.openxmlformats.org/officeDocument/2006/relationships/hyperlink" Target="https://sibmoz.gov.mz/content/uploads/2022/01/Lei-do-Mar.pdf" TargetMode="External"/><Relationship Id="rId20" Type="http://schemas.openxmlformats.org/officeDocument/2006/relationships/hyperlink" Target="https://sibmoz.gov.mz/content/uploads/2022/06/Regulamento-Zonas-costeiras.pdf" TargetMode="External"/><Relationship Id="rId21" Type="http://schemas.openxmlformats.org/officeDocument/2006/relationships/hyperlink" Target="https://sibmoz.gov.mz/content/uploads/2025/11/Resolucao-n.o-63_2024-que-aprova-o-Plano-de-Ordenamento-do-Espaco-Maritimo.pdf" TargetMode="External"/><Relationship Id="rId22" Type="http://schemas.openxmlformats.org/officeDocument/2006/relationships/hyperlink" Target="https://www.proazul.gov.mz/wp-content/uploads/2024/11/EDEA-ESTRATEGIA-DE-DESENVOLVIMENTO-DA-ECONOMIA-AZUL-_FINAL_TYPO_PRINT_WEB.pdf" TargetMode="External"/><Relationship Id="rId23" Type="http://schemas.openxmlformats.org/officeDocument/2006/relationships/hyperlink" Target="https://faolex.fao.org/docs/pdf/moz214814.pdf" TargetMode="External"/><Relationship Id="rId24" Type="http://schemas.openxmlformats.org/officeDocument/2006/relationships/hyperlink" Target="https://sisma.misau.gov.mz/docs/Politica%20Nacional%20de%20Saude.pdf" TargetMode="External"/><Relationship Id="rId25" Type="http://schemas.openxmlformats.org/officeDocument/2006/relationships/hyperlink" Target="https://sibmoz.gov.mz/content/uploads/2022/06/Plano-Nacional-de-Desenvolvimento-Territorial-1.pdf" TargetMode="External"/><Relationship Id="rId26" Type="http://schemas.openxmlformats.org/officeDocument/2006/relationships/hyperlink" Target="https://sibmoz.gov.mz/content/uploads/2022/01/Lei-do-ordenamento-territorial.pdf" TargetMode="External"/><Relationship Id="rId27" Type="http://schemas.openxmlformats.org/officeDocument/2006/relationships/hyperlink" Target="https://sibmoz.gov.mz/content/uploads/2025/11/Decreto-n.o-23_2008_Regulamento-da-Lei-de-Ordenamento-do-Territorio.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