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Regulation on Environmental Inspection</w:t>
      </w:r>
    </w:p>
    <w:p>
      <w:pPr>
        <w:jc w:val="center"/>
      </w:pPr>
      <w:r>
        <w:t>Decree No. 51/2024 of 17 July</w:t>
      </w:r>
    </w:p>
    <w:p>
      <w:pPr>
        <w:jc w:val="center"/>
      </w:pPr>
      <w:r>
        <w:rPr>
          <w:i/>
        </w:rPr>
        <w:t>English translation of: Regulamento sobre a Actividade de Fiscalização Ambiental</w:t>
        <w:br/>
      </w:r>
      <w:r>
        <w:t>Translated for 4P Index policy analysis — 2026-06-19</w:t>
        <w:br/>
      </w:r>
      <w:r>
        <w:t>Source: https://faolex.fao.org/docs/pdf/moz228476.pdf</w:t>
      </w:r>
    </w:p>
    <w:p>
      <w:pPr>
        <w:pStyle w:val="Heading1"/>
      </w:pPr>
      <w:r>
        <w:t>Decree No. 51/2024</w:t>
      </w:r>
    </w:p>
    <w:p>
      <w:r>
        <w:t>The Council of Ministers decrees:</w:t>
        <w:br/>
        <w:t>Article 1. The Regulation on Environmental Inspection Activity is approved as an annex forming an integral part of this Decree.</w:t>
        <w:br/>
        <w:t>Article 2. The Minister responsible for the environment shall approve complementary norms for operationalising this Decree.</w:t>
        <w:br/>
        <w:t>Article 3. Decree No. 11/2006 of 15 June is repealed.</w:t>
        <w:br/>
        <w:t>Article 4. This Decree enters into force on the date of its publication.</w:t>
        <w:br/>
        <w:t>Approved by the Council of Ministers on 21 May 2024.</w:t>
      </w:r>
    </w:p>
    <w:p>
      <w:pPr>
        <w:pStyle w:val="Heading1"/>
      </w:pPr>
      <w:r>
        <w:t>Regulation — Chapter I. General provisions</w:t>
      </w:r>
    </w:p>
    <w:p>
      <w:r>
        <w:t>Article 1 (Object). To regulate environmental inspection activity for compliance with national environmental protection and quality norms.</w:t>
        <w:br/>
        <w:br/>
        <w:t>Article 2 (Definition). Environmental Inspection includes:</w:t>
        <w:br/>
        <w:t>a) verifying conformity of any activity with environmental protection and quality norms;</w:t>
        <w:br/>
        <w:t>b) supervising environmental audit and monitoring actions;</w:t>
        <w:br/>
        <w:t>c) verifying compliance with EIA mitigation measures; and</w:t>
        <w:br/>
        <w:t>d) supervising land use and territorial planning/resettlement instruments.</w:t>
        <w:br/>
        <w:br/>
        <w:t>Article 3 (Competencies). The Ministry of Environment shall:</w:t>
        <w:br/>
        <w:t>a) conduct environmental inspections nationwide;</w:t>
        <w:br/>
        <w:t>b) issue infringement reports for sanctions;</w:t>
        <w:br/>
        <w:t>c) trigger legal mechanisms before the Public Prosecutor to embargo, order destruction of works, seize equipment or cancel degrading activities; and</w:t>
        <w:br/>
        <w:t>d) refer criminal environmental offences to the Public Prosecutor.</w:t>
      </w:r>
    </w:p>
    <w:p>
      <w:pPr>
        <w:pStyle w:val="Heading1"/>
      </w:pPr>
      <w:r>
        <w:t>Chapter II. Inspection action</w:t>
      </w:r>
    </w:p>
    <w:p>
      <w:r>
        <w:t>Article 4. Inspection may be ordinary (under the activity plan) or extraordinary (targeting specific activities threatening environmental balance).</w:t>
        <w:br/>
        <w:br/>
        <w:t>Article 5.</w:t>
        <w:br/>
        <w:t>1. Inspection is exercised by credentialed Environmental Inspectors or Environmental Technicians.</w:t>
        <w:br/>
        <w:t>2. Environmental inspection does not require authorisation from the inspected entity.</w:t>
        <w:br/>
        <w:t>3. Inspectors must inform the responsible person, with access to premises, documentation, sample collection and image recording.</w:t>
        <w:br/>
        <w:t>4. Upon completion, inspectors communicate findings via a signed environmental inspection form.</w:t>
      </w:r>
    </w:p>
    <w:p>
      <w:pPr>
        <w:pStyle w:val="Heading1"/>
      </w:pPr>
      <w:r>
        <w:t>Chapter III. Principles, guarantees and impediments</w:t>
      </w:r>
    </w:p>
    <w:p>
      <w:r>
        <w:t>Article 6. Principles: independence, impartiality, legality, transparency.</w:t>
        <w:br/>
        <w:br/>
        <w:t>Article 7. State guarantees resources and security; conflict-of-interest rules apply.</w:t>
        <w:br/>
        <w:br/>
        <w:t>Article 8. On detecting any environmental infringement, inspectors issue an infringement notice (auto de notícia) using an approved form; may issue a 10-day clarification notice.</w:t>
        <w:br/>
        <w:br/>
        <w:t>Article 9. Infringement notice requirements (offender ID, facts, legal provision infringed, penalty, aggravating/attenuating circumstances, voluntary payment/defence deadline).</w:t>
        <w:br/>
        <w:br/>
        <w:t>Article 10. Procedure when the offender refuses to sign.</w:t>
        <w:br/>
        <w:br/>
        <w:t>Article 11. Correctable irregularities: up to 30-day compliance period before fine application.</w:t>
      </w:r>
    </w:p>
    <w:p>
      <w:pPr>
        <w:pStyle w:val="Heading1"/>
      </w:pPr>
      <w:r>
        <w:t>Chapter IV. Rights, duties and prerogatives</w:t>
      </w:r>
    </w:p>
    <w:p>
      <w:r>
        <w:t>Article 12. Inspector rights: ID card, free access, adequate facilities, inter-agency coordination, police/Public Prosecutor assistance.</w:t>
        <w:br/>
        <w:br/>
        <w:t>Article 13. Inspected entities must provide environmental documentation (licence, DUAT, EIA, management plan, audit/monitoring reports, exploration plans, territorial instruments, resettlement plan) and cooperate fully.</w:t>
        <w:br/>
        <w:br/>
        <w:t>Article 14. Inspectors may request civil/police authority assistance.</w:t>
        <w:br/>
        <w:br/>
        <w:t>Articles 15–17. Credentials, secrecy duty, incompatibilities.</w:t>
        <w:br/>
        <w:br/>
        <w:t>Article 18.</w:t>
        <w:br/>
        <w:t>1. Fines follow sanctions in the underlying legal instruments.</w:t>
        <w:br/>
        <w:t>2. Accessory penalties may include activity suspension and equipment seizure until conformity.</w:t>
        <w:br/>
        <w:br/>
        <w:t>Article 19. Entities must keep required environmental information on-site.</w:t>
        <w:br/>
        <w:br/>
        <w:t>Article 20. Fine gradation based on severity and environmental damage magnitude.</w:t>
        <w:br/>
        <w:br/>
        <w:t>Article 21. 15-day voluntary fine payment or defence right.</w:t>
        <w:br/>
        <w:br/>
        <w:t>Article 22. Fine revenues: 40% State, 60% inspecting entity (Single Treasury Account).</w:t>
      </w:r>
    </w:p>
    <w:p>
      <w:pPr>
        <w:pStyle w:val="Heading1"/>
      </w:pPr>
      <w:r>
        <w:t>Note on plastic pollution relevance</w:t>
      </w:r>
    </w:p>
    <w:p>
      <w:r>
        <w:t>This regulation does not mention plastics explicitly. It is a horizontal enforcement framework that enables inspection and sanctioning of compliance with substantive environmental laws including marine litter rules (Decree 45/2006), urban solid waste management (Decree 94/2014), and effluent standards (Decree 18/2004). Replaces Decree 11/2006.</w:t>
      </w:r>
    </w:p>
    <w:p>
      <w:r>
        <w:br w:type="page"/>
      </w:r>
    </w:p>
    <w:p>
      <w:pPr>
        <w:pStyle w:val="Heading1"/>
      </w:pPr>
      <w:r>
        <w:t>4P Index Coding Summary</w:t>
      </w:r>
    </w:p>
    <w:p>
      <w:r>
        <w:t>Policy: Regulamento sobre a Actividade de Fiscalização Ambiental (Decreto n.º 51/2024)</w:t>
        <w:br/>
        <w:t>Instruments coded: 4 (consolidated — horizontal inspection framework)</w:t>
        <w:br/>
        <w:t>See: 4P_Index_Mozambique_Decree_51_2024.xlsx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