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Regulation on Environmental Impact Assessment</w:t>
      </w:r>
    </w:p>
    <w:p>
      <w:pPr>
        <w:jc w:val="center"/>
      </w:pPr>
      <w:r>
        <w:t>Decree No. 54/2015 of 31 December</w:t>
      </w:r>
    </w:p>
    <w:p>
      <w:pPr>
        <w:jc w:val="center"/>
      </w:pPr>
      <w:r>
        <w:rPr>
          <w:i/>
        </w:rPr>
        <w:t>English translation of: Regulamento da Avaliação do Impacto Ambiental</w:t>
        <w:br/>
      </w:r>
      <w:r>
        <w:t>Translated for 4P Index policy analysis — 2026-06-19</w:t>
        <w:br/>
      </w:r>
      <w:r>
        <w:t>Source: https://faolex.fao.org/docs/pdf/moz174566.pdf</w:t>
      </w:r>
    </w:p>
    <w:p>
      <w:pPr>
        <w:pStyle w:val="Heading1"/>
      </w:pPr>
      <w:r>
        <w:t>Decree No. 54/2015</w:t>
      </w:r>
    </w:p>
    <w:p>
      <w:r>
        <w:t>The Council of Ministers decrees:</w:t>
        <w:br/>
        <w:t>Article 1. The Regulation on the Environmental Impact Assessment Process is approved as an annex forming an integral part of this Decree.</w:t>
        <w:br/>
        <w:t>Article 2. The Minister responsible for the environment shall approve complementary norms for operationalising this Decree.</w:t>
        <w:br/>
        <w:t>Article 3. Decrees No. 45/2004 of 29 September and No. 42/2008 of 4 November are repealed.</w:t>
        <w:br/>
        <w:t>Article 4. This Decree enters into force ninety days after publication.</w:t>
        <w:br/>
        <w:t>Approved by the Council of Ministers on 30 November 2015.</w:t>
      </w:r>
    </w:p>
    <w:p>
      <w:pPr>
        <w:pStyle w:val="Heading1"/>
      </w:pPr>
      <w:r>
        <w:t>Regulation — Chapter I. General provisions</w:t>
      </w:r>
    </w:p>
    <w:p>
      <w:r>
        <w:t>Article 1 (Object). To establish rules on the environmental impact assessment process.</w:t>
        <w:br/>
        <w:br/>
        <w:t>Article 2 (Scope). Applies to public and private activities that may directly or indirectly influence the environment.</w:t>
        <w:br/>
        <w:br/>
        <w:t>Article 3 (Principle). Environmental impact assessment is mandatory for activities listed in the annexes.</w:t>
        <w:br/>
        <w:br/>
        <w:t>Article 4 (Categories). Activities classified as:</w:t>
        <w:br/>
        <w:t>a) Category A+ — full EIA by independent Expert Reviewers;</w:t>
        <w:br/>
        <w:t>b) Category A — full EIA;</w:t>
        <w:br/>
        <w:t>c) Category B — Simplified Environmental Study (EAS);</w:t>
        <w:br/>
        <w:t>d) Category C — Preliminary Environmental Information only.</w:t>
        <w:br/>
        <w:br/>
        <w:t>Article 5. Emergency activities may be exempted subject to MICOA approval.</w:t>
      </w:r>
    </w:p>
    <w:p>
      <w:pPr>
        <w:pStyle w:val="Heading1"/>
      </w:pPr>
      <w:r>
        <w:t>Chapter II — Studies and public participation</w:t>
      </w:r>
    </w:p>
    <w:p>
      <w:r>
        <w:t>Article 8. Pre-assessment (EAP) required for categories A+ and A; EAS for category B.</w:t>
        <w:br/>
        <w:br/>
        <w:t>Articles 10–12. Content requirements for EAP, full EIA and EAS including project description, alternatives, impact identification, residual/cumulative impacts, and mitigation measures.</w:t>
        <w:br/>
        <w:br/>
        <w:t>Article 15. Public participation and consultation mandatory for categories A+, A and B; proponent bears costs of public consultation.</w:t>
        <w:br/>
        <w:br/>
        <w:t>Articles 16–18. Technical commissions and expert review procedures for EIA reports.</w:t>
        <w:br/>
        <w:br/>
        <w:t>Article 19. Processing deadlines by category and study type.</w:t>
      </w:r>
    </w:p>
    <w:p>
      <w:pPr>
        <w:pStyle w:val="Heading1"/>
      </w:pPr>
      <w:r>
        <w:t>Chapter III — Environmental licensing</w:t>
      </w:r>
    </w:p>
    <w:p>
      <w:r>
        <w:t>Article 20. Three-stage licensing:</w:t>
        <w:br/>
        <w:t>a) Provisional Environmental Licence (optional, after EAP approval);</w:t>
        <w:br/>
        <w:t>b) Installation Environmental Licence (after EIA/EAS approval and resettlement plan if required);</w:t>
        <w:br/>
        <w:t>c) Operation Environmental Licence (after verified installation compliance).</w:t>
        <w:br/>
        <w:t>Operating without installation licence is subject to administrative fine.</w:t>
        <w:br/>
        <w:br/>
        <w:t>Article 21. Environmental viability analysis before licence issuance.</w:t>
        <w:br/>
        <w:br/>
        <w:t>Article 25. Proponent obligations: implement mitigation, maintain records, comply with licence conditions, bear liability for unauthorised operation.</w:t>
      </w:r>
    </w:p>
    <w:p>
      <w:pPr>
        <w:pStyle w:val="Heading1"/>
      </w:pPr>
      <w:r>
        <w:t>Chapter V — Inspection, fees and sanctions</w:t>
      </w:r>
    </w:p>
    <w:p>
      <w:r>
        <w:t>Article 26. MICOA inspects compliance with approved EIA and mitigation measures; all A+ and A projects must be inspected.</w:t>
        <w:br/>
        <w:br/>
        <w:t>Article 27. Graduated licensing fees by category (published in Boletim da República).</w:t>
        <w:br/>
        <w:br/>
        <w:t>Articles 28–29. Administrative fines for licence violations, false information, consultant misconduct — graduated by severity (50,000 MT to 10,000,000+ MT).</w:t>
        <w:br/>
        <w:br/>
        <w:t>Article 30. Fee revenues: 50% State, 50% Environment Fund; fine revenues: 60% State, 40% FUNAB.</w:t>
      </w:r>
    </w:p>
    <w:p>
      <w:pPr>
        <w:pStyle w:val="Heading1"/>
      </w:pPr>
      <w:r>
        <w:t>Annexes — plastic-relevant activities (selected)</w:t>
      </w:r>
    </w:p>
    <w:p>
      <w:r>
        <w:t>Annex I (A+): large-scale projects including major industrial and biodiversity-sensitive developments.</w:t>
        <w:br/>
        <w:br/>
        <w:t>Annex II (A): includes waste treatment and disposal, sanitary landfills (&gt;150,000 tonnes), incineration plants, elastomer product manufacturing, large port/industrial facilities.</w:t>
        <w:br/>
        <w:br/>
        <w:t>Annex III (B): smaller waste treatment, recycling, water/sanitation systems, food processing.</w:t>
        <w:br/>
        <w:br/>
        <w:t>Annex IV (C): low-impact activities requiring preliminary environmental information only.</w:t>
        <w:br/>
        <w:br/>
        <w:t>Note: No explicit mention of plastics; relevance is through EIA/licensing requirements for waste, landfill, incineration and elastomer/packaging-related industries.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Regulamento da Avaliação do Impacto Ambiental (Decreto n.º 54/2015)</w:t>
        <w:br/>
        <w:t>Instruments coded: 6 (consolidated — EIA gatekeeping framework)</w:t>
        <w:br/>
        <w:t>See: 4P_Index_Mozambique_Decree_54_2015.xlsx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