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Supreme Decree No. 003-2025-MINAM – National Circular Economy Roadmap to 2030</w:t>
        <w:br/>
        <w:t>Decreto Supremo N.° 003-2025-MINAM – Hoja de Ruta Nacional de Economía Circular al 2030</w:t>
      </w:r>
    </w:p>
    <w:p>
      <w:pPr>
        <w:jc w:val="center"/>
      </w:pPr>
      <w:r>
        <w:t>Signed: 24 February 2025 | Published: 25 February 2025 (El Peruano)</w:t>
        <w:br/>
        <w:t>Countersigned by 10 Executive Branch sectors</w:t>
        <w:br/>
        <w:t>Source: https://www.gob.pe/institucion/minam/normas-legales/6507211-003-2025-minam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Supreme Decree No. 003-2025-MINAM approving the National Circular Economy Roadmap to 2030.</w:t>
      </w:r>
    </w:p>
    <w:p>
      <w:pPr>
        <w:pStyle w:val="Heading2"/>
      </w:pPr>
      <w:r>
        <w:t>Art. 1 — Approval</w:t>
      </w:r>
    </w:p>
    <w:p>
      <w:r>
        <w:rPr>
          <w:b/>
        </w:rPr>
        <w:t>Apruébase la 'Hoja de Ruta Nacional de Economía Circular al 2030' como Anexo.</w:t>
      </w:r>
    </w:p>
    <w:p>
      <w:pPr>
        <w:spacing w:after="160"/>
      </w:pPr>
      <w:r>
        <w:t>The 'National Circular Economy Roadmap to 2030' is approved as Annex.</w:t>
      </w:r>
    </w:p>
    <w:p>
      <w:pPr>
        <w:pStyle w:val="Heading2"/>
      </w:pPr>
      <w:r>
        <w:t>Art. 2 — Scope</w:t>
      </w:r>
    </w:p>
    <w:p>
      <w:r>
        <w:rPr>
          <w:b/>
        </w:rPr>
        <w:t>Aplicable a entidades del sector público que incorporen economía circular.</w:t>
      </w:r>
    </w:p>
    <w:p>
      <w:pPr>
        <w:spacing w:after="160"/>
      </w:pPr>
      <w:r>
        <w:t>Applicable to public-sector entities incorporating circular economy.</w:t>
      </w:r>
    </w:p>
    <w:p>
      <w:pPr>
        <w:pStyle w:val="Heading2"/>
      </w:pPr>
      <w:r>
        <w:t>Art. 3 — Monitoring</w:t>
      </w:r>
    </w:p>
    <w:p>
      <w:r>
        <w:rPr>
          <w:b/>
        </w:rPr>
        <w:t>MINAM monitorea y evalúa indicadores y acciones estratégicas; entidades reportan avances.</w:t>
      </w:r>
    </w:p>
    <w:p>
      <w:pPr>
        <w:spacing w:after="160"/>
      </w:pPr>
      <w:r>
        <w:t>MINAM monitors and evaluates indicators and strategic actions; entities report progress.</w:t>
      </w:r>
    </w:p>
    <w:p>
      <w:pPr>
        <w:pStyle w:val="Heading2"/>
      </w:pPr>
      <w:r>
        <w:t>DCF Primera — Sectoral roadmaps</w:t>
      </w:r>
    </w:p>
    <w:p>
      <w:r>
        <w:rPr>
          <w:b/>
        </w:rPr>
        <w:t>Hojas de Ruta Sectoriales con opinión favorable MINAM, aprobadas por DS.</w:t>
      </w:r>
    </w:p>
    <w:p>
      <w:pPr>
        <w:spacing w:after="160"/>
      </w:pPr>
      <w:r>
        <w:t>Sectoral Roadmaps with favorable MINAM opinion, approved by supreme decree.</w:t>
      </w:r>
    </w:p>
    <w:p>
      <w:pPr>
        <w:pStyle w:val="Heading2"/>
      </w:pPr>
      <w:r>
        <w:t>DCF Segunda — Action Plan</w:t>
      </w:r>
    </w:p>
    <w:p>
      <w:r>
        <w:rPr>
          <w:b/>
        </w:rPr>
        <w:t>Plan Nacional de Acción de monitoreo en 120 días calendario.</w:t>
      </w:r>
    </w:p>
    <w:p>
      <w:pPr>
        <w:spacing w:after="160"/>
      </w:pPr>
      <w:r>
        <w:t>National Monitoring Action Plan within 120 calendar days.</w:t>
      </w:r>
    </w:p>
    <w:p>
      <w:pPr>
        <w:pStyle w:val="Heading2"/>
      </w:pPr>
      <w:r>
        <w:t>HRNEC Annex — Strategic goals</w:t>
      </w:r>
    </w:p>
    <w:p>
      <w:r>
        <w:rPr>
          <w:b/>
        </w:rPr>
        <w:t>Transición a producción/consumo sostenible; metas 2030 incl. 2% PBI y 306 000 empleos; prioriza plásticos y 10 sectores.</w:t>
      </w:r>
    </w:p>
    <w:p>
      <w:pPr>
        <w:spacing w:after="160"/>
      </w:pPr>
      <w:r>
        <w:t>Transition to sustainable production/consumption; 2030 targets incl. 2% GDP and 306,000 jobs; prioritizes plastics and 10 sectors.</w:t>
      </w:r>
    </w:p>
    <w:p/>
    <w:p>
      <w:pPr>
        <w:jc w:val="center"/>
      </w:pPr>
      <w:r>
        <w:t>Note: DS 003-2025-MINAM approves the HRNEC annex as the strategic multisector framework guiding Peru's circular transition, explicitly covering plastics value chains and complementing solid-waste and plastics legislation.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