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0B49C" w14:textId="77777777" w:rsidR="0057466F" w:rsidRDefault="0057466F" w:rsidP="00364A7A">
      <w:pPr>
        <w:spacing w:after="175" w:line="259" w:lineRule="auto"/>
        <w:ind w:left="14" w:firstLine="0"/>
        <w:jc w:val="center"/>
        <w:rPr>
          <w:rFonts w:ascii="Georgia" w:hAnsi="Georgia"/>
          <w:b/>
          <w:bCs/>
          <w:color w:val="FF555F"/>
          <w:sz w:val="28"/>
          <w:szCs w:val="28"/>
        </w:rPr>
      </w:pPr>
    </w:p>
    <w:p w14:paraId="330D1122" w14:textId="77777777" w:rsidR="0057466F" w:rsidRDefault="0057466F" w:rsidP="00364A7A">
      <w:pPr>
        <w:spacing w:after="175" w:line="259" w:lineRule="auto"/>
        <w:ind w:left="14" w:firstLine="0"/>
        <w:jc w:val="center"/>
        <w:rPr>
          <w:rFonts w:ascii="Georgia" w:hAnsi="Georgia"/>
          <w:b/>
          <w:bCs/>
          <w:color w:val="FF555F"/>
          <w:sz w:val="28"/>
          <w:szCs w:val="28"/>
        </w:rPr>
      </w:pPr>
    </w:p>
    <w:p w14:paraId="00DF144F" w14:textId="77777777" w:rsidR="0057466F" w:rsidRDefault="0057466F" w:rsidP="00364A7A">
      <w:pPr>
        <w:spacing w:after="175" w:line="259" w:lineRule="auto"/>
        <w:ind w:left="14" w:firstLine="0"/>
        <w:jc w:val="center"/>
        <w:rPr>
          <w:rFonts w:ascii="Georgia" w:hAnsi="Georgia"/>
          <w:b/>
          <w:bCs/>
          <w:color w:val="FF555F"/>
          <w:sz w:val="28"/>
          <w:szCs w:val="28"/>
        </w:rPr>
      </w:pPr>
    </w:p>
    <w:p w14:paraId="64D1A11B" w14:textId="77777777" w:rsidR="0057466F" w:rsidRDefault="0057466F" w:rsidP="00364A7A">
      <w:pPr>
        <w:spacing w:after="175" w:line="259" w:lineRule="auto"/>
        <w:ind w:left="14" w:firstLine="0"/>
        <w:jc w:val="center"/>
        <w:rPr>
          <w:rFonts w:ascii="Georgia" w:hAnsi="Georgia"/>
          <w:b/>
          <w:bCs/>
          <w:color w:val="FF555F"/>
          <w:sz w:val="28"/>
          <w:szCs w:val="28"/>
        </w:rPr>
      </w:pPr>
    </w:p>
    <w:p w14:paraId="7EEA8E5E" w14:textId="77777777" w:rsidR="0057466F" w:rsidRDefault="0057466F" w:rsidP="00364A7A">
      <w:pPr>
        <w:spacing w:after="175" w:line="259" w:lineRule="auto"/>
        <w:ind w:left="14" w:firstLine="0"/>
        <w:jc w:val="center"/>
        <w:rPr>
          <w:rFonts w:ascii="Georgia" w:hAnsi="Georgia"/>
          <w:b/>
          <w:bCs/>
          <w:color w:val="FF555F"/>
          <w:sz w:val="28"/>
          <w:szCs w:val="28"/>
        </w:rPr>
      </w:pPr>
    </w:p>
    <w:p w14:paraId="3ABF1B41" w14:textId="77777777" w:rsidR="0057466F" w:rsidRDefault="0057466F" w:rsidP="00364A7A">
      <w:pPr>
        <w:spacing w:after="175" w:line="259" w:lineRule="auto"/>
        <w:ind w:left="14" w:firstLine="0"/>
        <w:jc w:val="center"/>
        <w:rPr>
          <w:rFonts w:ascii="Georgia" w:hAnsi="Georgia"/>
          <w:b/>
          <w:bCs/>
          <w:color w:val="FF555F"/>
          <w:sz w:val="28"/>
          <w:szCs w:val="28"/>
        </w:rPr>
      </w:pPr>
    </w:p>
    <w:p w14:paraId="297E98E4" w14:textId="77777777" w:rsidR="0057466F" w:rsidRDefault="0057466F" w:rsidP="00364A7A">
      <w:pPr>
        <w:spacing w:after="175" w:line="259" w:lineRule="auto"/>
        <w:ind w:left="14" w:firstLine="0"/>
        <w:jc w:val="center"/>
        <w:rPr>
          <w:rFonts w:ascii="Georgia" w:hAnsi="Georgia"/>
          <w:b/>
          <w:bCs/>
          <w:color w:val="FF555F"/>
          <w:sz w:val="28"/>
          <w:szCs w:val="28"/>
        </w:rPr>
      </w:pPr>
    </w:p>
    <w:p w14:paraId="0E2DEDDA" w14:textId="50856B9F" w:rsidR="00D34C97" w:rsidRPr="00364A7A" w:rsidRDefault="00103959" w:rsidP="00364A7A">
      <w:pPr>
        <w:spacing w:after="175" w:line="259" w:lineRule="auto"/>
        <w:ind w:left="14" w:firstLine="0"/>
        <w:jc w:val="center"/>
        <w:rPr>
          <w:rFonts w:ascii="Georgia" w:hAnsi="Georgia"/>
          <w:b/>
          <w:bCs/>
          <w:color w:val="FF555F"/>
          <w:sz w:val="28"/>
          <w:szCs w:val="28"/>
          <w14:textFill>
            <w14:solidFill>
              <w14:srgbClr w14:val="FF555F">
                <w14:lumMod w14:val="50000"/>
              </w14:srgbClr>
            </w14:solidFill>
          </w14:textFill>
        </w:rPr>
      </w:pPr>
      <w:r w:rsidRPr="00364A7A">
        <w:rPr>
          <w:rFonts w:ascii="Georgia" w:hAnsi="Georgia"/>
          <w:b/>
          <w:bCs/>
          <w:color w:val="FF555F"/>
          <w:sz w:val="28"/>
          <w:szCs w:val="28"/>
        </w:rPr>
        <w:t>Genpact Internal Penetration Testing Report</w:t>
      </w:r>
    </w:p>
    <w:p w14:paraId="170127FE" w14:textId="50933491" w:rsidR="0095687E" w:rsidRDefault="00F41B76" w:rsidP="00364A7A">
      <w:pPr>
        <w:spacing w:after="175" w:line="259" w:lineRule="auto"/>
        <w:ind w:left="14" w:firstLine="0"/>
        <w:jc w:val="center"/>
        <w:rPr>
          <w:rFonts w:ascii="Georgia" w:hAnsi="Georgia"/>
          <w:b/>
          <w:bCs/>
          <w:color w:val="FF555F"/>
          <w:sz w:val="28"/>
          <w:szCs w:val="28"/>
        </w:rPr>
      </w:pPr>
      <w:r>
        <w:rPr>
          <w:rFonts w:ascii="Georgia" w:hAnsi="Georgia"/>
          <w:b/>
          <w:bCs/>
          <w:color w:val="FF555F"/>
          <w:sz w:val="28"/>
          <w:szCs w:val="28"/>
        </w:rPr>
        <w:t>Cytiva Jaipur &amp; Jacksonville (WFH) Environment only</w:t>
      </w:r>
    </w:p>
    <w:p w14:paraId="33038344" w14:textId="67362BB1" w:rsidR="001D2B5B" w:rsidRPr="00364A7A" w:rsidRDefault="00FA6A42" w:rsidP="00364A7A">
      <w:pPr>
        <w:spacing w:after="175" w:line="259" w:lineRule="auto"/>
        <w:ind w:left="14" w:firstLine="0"/>
        <w:jc w:val="center"/>
        <w:rPr>
          <w:rFonts w:ascii="Georgia" w:hAnsi="Georgia"/>
          <w:b/>
          <w:bCs/>
          <w:color w:val="FF555F"/>
          <w:sz w:val="28"/>
          <w:szCs w:val="28"/>
        </w:rPr>
      </w:pPr>
      <w:r>
        <w:rPr>
          <w:rFonts w:ascii="Georgia" w:hAnsi="Georgia"/>
          <w:b/>
          <w:bCs/>
          <w:color w:val="FF555F"/>
          <w:sz w:val="28"/>
          <w:szCs w:val="28"/>
        </w:rPr>
        <w:t>Oc</w:t>
      </w:r>
      <w:r w:rsidR="00B20FB2">
        <w:rPr>
          <w:rFonts w:ascii="Georgia" w:hAnsi="Georgia"/>
          <w:b/>
          <w:bCs/>
          <w:color w:val="FF555F"/>
          <w:sz w:val="28"/>
          <w:szCs w:val="28"/>
        </w:rPr>
        <w:t>t</w:t>
      </w:r>
      <w:r w:rsidR="00D104BE">
        <w:rPr>
          <w:rFonts w:ascii="Georgia" w:hAnsi="Georgia"/>
          <w:b/>
          <w:bCs/>
          <w:color w:val="FF555F"/>
          <w:sz w:val="28"/>
          <w:szCs w:val="28"/>
        </w:rPr>
        <w:t>’</w:t>
      </w:r>
      <w:r w:rsidR="00E338FE" w:rsidRPr="00364A7A">
        <w:rPr>
          <w:rFonts w:ascii="Georgia" w:hAnsi="Georgia"/>
          <w:b/>
          <w:bCs/>
          <w:color w:val="FF555F"/>
          <w:sz w:val="28"/>
          <w:szCs w:val="28"/>
        </w:rPr>
        <w:t>20</w:t>
      </w:r>
      <w:r w:rsidR="00A579C1" w:rsidRPr="00364A7A">
        <w:rPr>
          <w:rFonts w:ascii="Georgia" w:hAnsi="Georgia"/>
          <w:b/>
          <w:bCs/>
          <w:color w:val="FF555F"/>
          <w:sz w:val="28"/>
          <w:szCs w:val="28"/>
        </w:rPr>
        <w:t>21</w:t>
      </w:r>
    </w:p>
    <w:p w14:paraId="2CA7C46C" w14:textId="77777777" w:rsidR="002D4310" w:rsidRPr="0080091A" w:rsidRDefault="00103959" w:rsidP="00A579C1">
      <w:pPr>
        <w:spacing w:after="197" w:line="259" w:lineRule="auto"/>
        <w:ind w:left="1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6BEBAD3C" w14:textId="77777777" w:rsidR="002D4310" w:rsidRPr="0080091A" w:rsidRDefault="002D4310">
      <w:pPr>
        <w:spacing w:after="160" w:line="259" w:lineRule="auto"/>
        <w:ind w:left="0"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br w:type="page"/>
      </w:r>
    </w:p>
    <w:p w14:paraId="3BF5E46F" w14:textId="3B2740BF" w:rsidR="001D2B5B" w:rsidRPr="0080091A" w:rsidRDefault="00103959" w:rsidP="00A579C1">
      <w:pPr>
        <w:spacing w:after="197" w:line="259" w:lineRule="auto"/>
        <w:ind w:left="1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lastRenderedPageBreak/>
        <w:t xml:space="preserve"> The assessment is performed in two distinct stages,  </w:t>
      </w:r>
    </w:p>
    <w:p w14:paraId="6349539C" w14:textId="77777777" w:rsidR="001D2B5B" w:rsidRPr="0080091A" w:rsidRDefault="00103959">
      <w:pPr>
        <w:pStyle w:val="Heading1"/>
        <w:spacing w:after="96" w:line="262" w:lineRule="auto"/>
        <w:ind w:left="384"/>
        <w:rPr>
          <w:rFonts w:ascii="Georgia" w:hAnsi="Georgia"/>
          <w:bCs/>
          <w:color w:val="1F4E79" w:themeColor="accent5" w:themeShade="80"/>
          <w:sz w:val="20"/>
          <w:szCs w:val="20"/>
        </w:rPr>
      </w:pPr>
      <w:r w:rsidRPr="0080091A">
        <w:rPr>
          <w:rFonts w:ascii="Georgia" w:hAnsi="Georgia"/>
          <w:bCs/>
          <w:color w:val="1F4E79" w:themeColor="accent5" w:themeShade="80"/>
          <w:sz w:val="20"/>
          <w:szCs w:val="20"/>
        </w:rPr>
        <w:t>1-</w:t>
      </w:r>
      <w:r w:rsidRPr="0080091A">
        <w:rPr>
          <w:rFonts w:ascii="Georgia" w:eastAsia="Arial" w:hAnsi="Georgia" w:cs="Arial"/>
          <w:bCs/>
          <w:color w:val="1F4E79" w:themeColor="accent5" w:themeShade="80"/>
          <w:sz w:val="20"/>
          <w:szCs w:val="20"/>
        </w:rPr>
        <w:t xml:space="preserve"> </w:t>
      </w:r>
      <w:r w:rsidRPr="0080091A">
        <w:rPr>
          <w:rFonts w:ascii="Georgia" w:hAnsi="Georgia"/>
          <w:bCs/>
          <w:color w:val="1F4E79" w:themeColor="accent5" w:themeShade="80"/>
          <w:sz w:val="20"/>
          <w:szCs w:val="20"/>
        </w:rPr>
        <w:t xml:space="preserve">The Vulnerability Assessment  </w:t>
      </w:r>
    </w:p>
    <w:p w14:paraId="0F1966FC" w14:textId="77777777" w:rsidR="001D2B5B" w:rsidRPr="0080091A" w:rsidRDefault="00103959">
      <w:pPr>
        <w:spacing w:after="211"/>
        <w:ind w:left="369"/>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This stage identifies the security issues considered to be the 'low hanging fruit' and lays the foundations for the manual assessment.  </w:t>
      </w:r>
    </w:p>
    <w:p w14:paraId="5C9086D2" w14:textId="77777777" w:rsidR="001D2B5B" w:rsidRPr="0080091A" w:rsidRDefault="00103959">
      <w:pPr>
        <w:ind w:left="369"/>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following objectives are included as part of the vulnerability assessment.   </w:t>
      </w:r>
    </w:p>
    <w:p w14:paraId="2F9105C0" w14:textId="77777777" w:rsidR="001D2B5B" w:rsidRPr="0080091A" w:rsidRDefault="00103959">
      <w:pPr>
        <w:numPr>
          <w:ilvl w:val="0"/>
          <w:numId w:val="1"/>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Identification of open ports   </w:t>
      </w:r>
    </w:p>
    <w:p w14:paraId="699659F5" w14:textId="77777777" w:rsidR="001D2B5B" w:rsidRPr="0080091A" w:rsidRDefault="00103959">
      <w:pPr>
        <w:numPr>
          <w:ilvl w:val="0"/>
          <w:numId w:val="1"/>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Fingerprinting of operating system and service versions   </w:t>
      </w:r>
    </w:p>
    <w:p w14:paraId="48060995" w14:textId="77777777" w:rsidR="001D2B5B" w:rsidRPr="0080091A" w:rsidRDefault="00103959">
      <w:pPr>
        <w:numPr>
          <w:ilvl w:val="0"/>
          <w:numId w:val="1"/>
        </w:numPr>
        <w:spacing w:after="330"/>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Identification of software (missing patch) related vulnerabilities  </w:t>
      </w:r>
    </w:p>
    <w:p w14:paraId="2AAA8374" w14:textId="77777777" w:rsidR="001D2B5B" w:rsidRPr="0080091A" w:rsidRDefault="00103959">
      <w:pPr>
        <w:pStyle w:val="Heading1"/>
        <w:spacing w:after="96" w:line="262" w:lineRule="auto"/>
        <w:ind w:left="384"/>
        <w:rPr>
          <w:rFonts w:ascii="Georgia" w:hAnsi="Georgia"/>
          <w:bCs/>
          <w:color w:val="1F4E79" w:themeColor="accent5" w:themeShade="80"/>
          <w:sz w:val="20"/>
          <w:szCs w:val="20"/>
        </w:rPr>
      </w:pPr>
      <w:r w:rsidRPr="0080091A">
        <w:rPr>
          <w:rFonts w:ascii="Georgia" w:hAnsi="Georgia"/>
          <w:bCs/>
          <w:color w:val="1F4E79" w:themeColor="accent5" w:themeShade="80"/>
          <w:sz w:val="20"/>
          <w:szCs w:val="20"/>
        </w:rPr>
        <w:t>2-</w:t>
      </w:r>
      <w:r w:rsidRPr="0080091A">
        <w:rPr>
          <w:rFonts w:ascii="Georgia" w:eastAsia="Arial" w:hAnsi="Georgia" w:cs="Arial"/>
          <w:bCs/>
          <w:color w:val="1F4E79" w:themeColor="accent5" w:themeShade="80"/>
          <w:sz w:val="20"/>
          <w:szCs w:val="20"/>
        </w:rPr>
        <w:t xml:space="preserve"> </w:t>
      </w:r>
      <w:r w:rsidRPr="0080091A">
        <w:rPr>
          <w:rFonts w:ascii="Georgia" w:hAnsi="Georgia"/>
          <w:bCs/>
          <w:color w:val="1F4E79" w:themeColor="accent5" w:themeShade="80"/>
          <w:sz w:val="20"/>
          <w:szCs w:val="20"/>
        </w:rPr>
        <w:t xml:space="preserve">The Penetration Test   </w:t>
      </w:r>
    </w:p>
    <w:p w14:paraId="6A81C950" w14:textId="77777777" w:rsidR="001D2B5B" w:rsidRPr="0080091A" w:rsidRDefault="00103959">
      <w:pPr>
        <w:spacing w:after="210"/>
        <w:ind w:left="369"/>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This stage manually confirms vulnerabilities and identifies additional security issues that are only highlighted when hosts are compromised.   </w:t>
      </w:r>
    </w:p>
    <w:p w14:paraId="1014E98B" w14:textId="77777777" w:rsidR="001D2B5B" w:rsidRPr="0080091A" w:rsidRDefault="00103959">
      <w:pPr>
        <w:spacing w:after="213"/>
        <w:ind w:left="369"/>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following objectives were included as part of the Penetration Test. This list is not exhaustive.   </w:t>
      </w:r>
    </w:p>
    <w:p w14:paraId="0D50270E" w14:textId="77777777" w:rsidR="001D2B5B" w:rsidRPr="0080091A" w:rsidRDefault="00103959">
      <w:pPr>
        <w:ind w:left="369"/>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-Identification of application configuration vulnerabilities   </w:t>
      </w:r>
    </w:p>
    <w:p w14:paraId="56F70858" w14:textId="77777777" w:rsidR="001D2B5B" w:rsidRPr="0080091A" w:rsidRDefault="00103959">
      <w:pPr>
        <w:numPr>
          <w:ilvl w:val="0"/>
          <w:numId w:val="2"/>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Analysis of network traffic   </w:t>
      </w:r>
    </w:p>
    <w:p w14:paraId="5E080404" w14:textId="01EC9F10" w:rsidR="001D2B5B" w:rsidRPr="0080091A" w:rsidRDefault="00103959">
      <w:pPr>
        <w:numPr>
          <w:ilvl w:val="0"/>
          <w:numId w:val="2"/>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Identification of </w:t>
      </w:r>
      <w:r w:rsidR="002D4310" w:rsidRPr="0080091A">
        <w:rPr>
          <w:rFonts w:ascii="Georgia" w:hAnsi="Georgia"/>
          <w:color w:val="1F4E79" w:themeColor="accent5" w:themeShade="80"/>
          <w:sz w:val="20"/>
          <w:szCs w:val="20"/>
        </w:rPr>
        <w:t>high-level</w:t>
      </w:r>
      <w:r w:rsidRPr="0080091A">
        <w:rPr>
          <w:rFonts w:ascii="Georgia" w:hAnsi="Georgia"/>
          <w:color w:val="1F4E79" w:themeColor="accent5" w:themeShade="80"/>
          <w:sz w:val="20"/>
          <w:szCs w:val="20"/>
        </w:rPr>
        <w:t xml:space="preserve"> Web application vulnerabilities   </w:t>
      </w:r>
    </w:p>
    <w:p w14:paraId="748EE471" w14:textId="77777777" w:rsidR="001D2B5B" w:rsidRPr="0080091A" w:rsidRDefault="00103959">
      <w:pPr>
        <w:numPr>
          <w:ilvl w:val="0"/>
          <w:numId w:val="2"/>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Assessment of infrastructure devices   </w:t>
      </w:r>
    </w:p>
    <w:p w14:paraId="28DEBED6" w14:textId="77777777" w:rsidR="001D2B5B" w:rsidRPr="0080091A" w:rsidRDefault="00103959">
      <w:pPr>
        <w:numPr>
          <w:ilvl w:val="0"/>
          <w:numId w:val="2"/>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Password strength analysis   </w:t>
      </w:r>
    </w:p>
    <w:p w14:paraId="044BCDEB" w14:textId="77777777" w:rsidR="001D2B5B" w:rsidRPr="0080091A" w:rsidRDefault="00103959">
      <w:pPr>
        <w:numPr>
          <w:ilvl w:val="0"/>
          <w:numId w:val="2"/>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Assessment of database access restrictions  </w:t>
      </w:r>
    </w:p>
    <w:p w14:paraId="6B27705C" w14:textId="77777777" w:rsidR="001D2B5B" w:rsidRPr="0080091A" w:rsidRDefault="00103959">
      <w:pPr>
        <w:numPr>
          <w:ilvl w:val="0"/>
          <w:numId w:val="2"/>
        </w:numPr>
        <w:ind w:hanging="12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Assessment of sensitive information disclosure vulnerabilities  </w:t>
      </w:r>
    </w:p>
    <w:p w14:paraId="5E57370B" w14:textId="77777777" w:rsidR="004079C6" w:rsidRDefault="004079C6">
      <w:pPr>
        <w:spacing w:after="160" w:line="259" w:lineRule="auto"/>
        <w:ind w:left="0" w:firstLine="0"/>
        <w:rPr>
          <w:rFonts w:ascii="Georgia" w:hAnsi="Georgia"/>
          <w:color w:val="1F4E79" w:themeColor="accent5" w:themeShade="80"/>
          <w:sz w:val="20"/>
          <w:szCs w:val="20"/>
        </w:rPr>
      </w:pPr>
      <w:r>
        <w:rPr>
          <w:rFonts w:ascii="Georgia" w:hAnsi="Georgia"/>
          <w:b/>
          <w:color w:val="1F4E79" w:themeColor="accent5" w:themeShade="80"/>
          <w:sz w:val="20"/>
          <w:szCs w:val="20"/>
        </w:rPr>
        <w:br w:type="page"/>
      </w:r>
    </w:p>
    <w:p w14:paraId="630E57E8" w14:textId="68BAB8FA" w:rsidR="001D2B5B" w:rsidRPr="0080091A" w:rsidRDefault="00103959">
      <w:pPr>
        <w:pStyle w:val="Heading1"/>
        <w:spacing w:after="195"/>
        <w:ind w:left="-5"/>
        <w:rPr>
          <w:rFonts w:ascii="Georgia" w:hAnsi="Georgia"/>
          <w:b w:val="0"/>
          <w:color w:val="1F4E79" w:themeColor="accent5" w:themeShade="80"/>
          <w:sz w:val="20"/>
          <w:szCs w:val="20"/>
        </w:rPr>
      </w:pPr>
      <w:r w:rsidRPr="0080091A">
        <w:rPr>
          <w:rFonts w:ascii="Georgia" w:hAnsi="Georgia"/>
          <w:b w:val="0"/>
          <w:color w:val="1F4E79" w:themeColor="accent5" w:themeShade="80"/>
          <w:sz w:val="20"/>
          <w:szCs w:val="20"/>
        </w:rPr>
        <w:lastRenderedPageBreak/>
        <w:t xml:space="preserve">Assessment Scope  </w:t>
      </w:r>
    </w:p>
    <w:p w14:paraId="384F3B12" w14:textId="77777777" w:rsidR="001D2B5B" w:rsidRPr="0080091A" w:rsidRDefault="00103959">
      <w:pPr>
        <w:pStyle w:val="Heading2"/>
        <w:spacing w:after="0"/>
        <w:ind w:left="-5"/>
        <w:rPr>
          <w:rFonts w:ascii="Georgia" w:hAnsi="Georgia"/>
          <w:b w:val="0"/>
          <w:color w:val="1F4E79" w:themeColor="accent5" w:themeShade="80"/>
          <w:sz w:val="20"/>
          <w:szCs w:val="20"/>
        </w:rPr>
      </w:pPr>
      <w:r w:rsidRPr="0080091A">
        <w:rPr>
          <w:rFonts w:ascii="Georgia" w:hAnsi="Georgia"/>
          <w:b w:val="0"/>
          <w:color w:val="1F4E79" w:themeColor="accent5" w:themeShade="80"/>
          <w:sz w:val="20"/>
          <w:szCs w:val="20"/>
        </w:rPr>
        <w:t xml:space="preserve">Assessment Drivers  </w:t>
      </w:r>
    </w:p>
    <w:p w14:paraId="5299E892" w14:textId="77777777" w:rsidR="001D2B5B" w:rsidRPr="0080091A" w:rsidRDefault="00103959">
      <w:pPr>
        <w:spacing w:after="281"/>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results of this assessment will form the basis for retests, remediation actions and spearhead a continued improvement in overall information security.  </w:t>
      </w:r>
    </w:p>
    <w:p w14:paraId="757C0A5E" w14:textId="798DCC74" w:rsidR="001D2B5B" w:rsidRDefault="00103959">
      <w:pPr>
        <w:pStyle w:val="Heading2"/>
        <w:spacing w:after="231"/>
        <w:ind w:left="-5"/>
        <w:rPr>
          <w:rFonts w:ascii="Georgia" w:hAnsi="Georgia"/>
          <w:b w:val="0"/>
          <w:color w:val="1F4E79" w:themeColor="accent5" w:themeShade="80"/>
          <w:sz w:val="20"/>
          <w:szCs w:val="20"/>
        </w:rPr>
      </w:pPr>
      <w:r w:rsidRPr="0080091A">
        <w:rPr>
          <w:rFonts w:ascii="Georgia" w:hAnsi="Georgia"/>
          <w:b w:val="0"/>
          <w:color w:val="1F4E79" w:themeColor="accent5" w:themeShade="80"/>
          <w:sz w:val="20"/>
          <w:szCs w:val="20"/>
        </w:rPr>
        <w:t xml:space="preserve">Submitted Scope  </w:t>
      </w:r>
    </w:p>
    <w:p w14:paraId="03F0601C" w14:textId="4F4808BE" w:rsidR="00FA6A42" w:rsidRDefault="007222F4">
      <w:pPr>
        <w:pStyle w:val="Heading1"/>
        <w:spacing w:after="78"/>
        <w:ind w:left="-5"/>
        <w:rPr>
          <w:rFonts w:ascii="Georgia" w:hAnsi="Georgia"/>
          <w:bCs/>
          <w:color w:val="1F4E79" w:themeColor="accent5" w:themeShade="80"/>
          <w:sz w:val="20"/>
          <w:szCs w:val="20"/>
        </w:rPr>
      </w:pPr>
      <w:r>
        <w:rPr>
          <w:rFonts w:ascii="Georgia" w:hAnsi="Georgia"/>
          <w:bCs/>
          <w:color w:val="1F4E79" w:themeColor="accent5" w:themeShade="80"/>
          <w:sz w:val="20"/>
          <w:szCs w:val="20"/>
        </w:rPr>
        <w:object w:dxaOrig="1534" w:dyaOrig="997" w14:anchorId="23B3B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Excel.Sheet.12" ShapeID="_x0000_i1025" DrawAspect="Icon" ObjectID="_1696246498" r:id="rId8"/>
        </w:object>
      </w:r>
      <w:bookmarkStart w:id="0" w:name="_GoBack"/>
      <w:bookmarkEnd w:id="0"/>
      <w:r w:rsidR="006A235C">
        <w:rPr>
          <w:rFonts w:ascii="Georgia" w:hAnsi="Georgia"/>
          <w:bCs/>
          <w:color w:val="1F4E79" w:themeColor="accent5" w:themeShade="80"/>
          <w:sz w:val="20"/>
          <w:szCs w:val="20"/>
        </w:rPr>
        <w:object w:dxaOrig="1534" w:dyaOrig="997" w14:anchorId="19844295">
          <v:shape id="_x0000_i1026" type="#_x0000_t75" style="width:76.5pt;height:49.5pt" o:ole="">
            <v:imagedata r:id="rId9" o:title=""/>
          </v:shape>
          <o:OLEObject Type="Embed" ProgID="Excel.Sheet.12" ShapeID="_x0000_i1026" DrawAspect="Icon" ObjectID="_1696246499" r:id="rId10"/>
        </w:object>
      </w:r>
    </w:p>
    <w:p w14:paraId="5F8C4BAD" w14:textId="3FC1AC00" w:rsidR="001D2B5B" w:rsidRDefault="00103959">
      <w:pPr>
        <w:pStyle w:val="Heading1"/>
        <w:spacing w:after="78"/>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Testing Methodology</w:t>
      </w:r>
    </w:p>
    <w:p w14:paraId="244004CA" w14:textId="44306DA7" w:rsidR="001D2B5B" w:rsidRPr="0080091A" w:rsidRDefault="00103959">
      <w:pPr>
        <w:spacing w:after="160" w:line="259" w:lineRule="auto"/>
        <w:ind w:left="-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This is the assessment methodology that is followed by our </w:t>
      </w:r>
      <w:r w:rsidR="00A13728" w:rsidRPr="0080091A">
        <w:rPr>
          <w:rFonts w:ascii="Georgia" w:hAnsi="Georgia"/>
          <w:color w:val="1F4E79" w:themeColor="accent5" w:themeShade="80"/>
          <w:sz w:val="20"/>
          <w:szCs w:val="20"/>
        </w:rPr>
        <w:t>testing team</w:t>
      </w:r>
      <w:r w:rsidRPr="0080091A">
        <w:rPr>
          <w:rFonts w:ascii="Georgia" w:hAnsi="Georgia"/>
          <w:color w:val="1F4E79" w:themeColor="accent5" w:themeShade="80"/>
          <w:sz w:val="20"/>
          <w:szCs w:val="20"/>
        </w:rPr>
        <w:t xml:space="preserve">.  </w:t>
      </w:r>
    </w:p>
    <w:p w14:paraId="47048429" w14:textId="77777777" w:rsidR="001D2B5B" w:rsidRPr="0080091A" w:rsidRDefault="00103959">
      <w:pPr>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testing consists of four phases. These phases start with the PCI requirements and it finishes the results back to the Owner, along with any recommendations for remedial action. These four steps are:  </w:t>
      </w:r>
    </w:p>
    <w:p w14:paraId="134EFD60" w14:textId="77777777" w:rsidR="001D2B5B" w:rsidRPr="0080091A" w:rsidRDefault="00103959">
      <w:pPr>
        <w:numPr>
          <w:ilvl w:val="0"/>
          <w:numId w:val="3"/>
        </w:numPr>
        <w:ind w:left="249" w:hanging="23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Initial Scooping  </w:t>
      </w:r>
    </w:p>
    <w:p w14:paraId="585B159A" w14:textId="77777777" w:rsidR="001D2B5B" w:rsidRPr="0080091A" w:rsidRDefault="00103959">
      <w:pPr>
        <w:numPr>
          <w:ilvl w:val="0"/>
          <w:numId w:val="3"/>
        </w:numPr>
        <w:ind w:left="249" w:hanging="23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Assessment  </w:t>
      </w:r>
    </w:p>
    <w:p w14:paraId="3958AAF5" w14:textId="77777777" w:rsidR="001D2B5B" w:rsidRPr="0080091A" w:rsidRDefault="00103959">
      <w:pPr>
        <w:numPr>
          <w:ilvl w:val="0"/>
          <w:numId w:val="3"/>
        </w:numPr>
        <w:ind w:left="249" w:hanging="23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Reporting  </w:t>
      </w:r>
    </w:p>
    <w:p w14:paraId="7B4160BC" w14:textId="7666EDCD" w:rsidR="001D2B5B" w:rsidRPr="0080091A" w:rsidRDefault="00103959" w:rsidP="00D829E4">
      <w:pPr>
        <w:numPr>
          <w:ilvl w:val="0"/>
          <w:numId w:val="3"/>
        </w:numPr>
        <w:spacing w:after="203"/>
        <w:ind w:left="249" w:hanging="23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Presentation  </w:t>
      </w:r>
      <w:r w:rsidRPr="0080091A">
        <w:rPr>
          <w:rFonts w:ascii="Georgia" w:eastAsia="Arial" w:hAnsi="Georgia" w:cs="Arial"/>
          <w:color w:val="1F4E79" w:themeColor="accent5" w:themeShade="80"/>
          <w:sz w:val="20"/>
          <w:szCs w:val="20"/>
        </w:rPr>
        <w:t xml:space="preserve"> </w:t>
      </w:r>
      <w:r w:rsidRPr="0080091A">
        <w:rPr>
          <w:rFonts w:ascii="Georgia" w:hAnsi="Georgia"/>
          <w:color w:val="1F4E79" w:themeColor="accent5" w:themeShade="80"/>
          <w:sz w:val="20"/>
          <w:szCs w:val="20"/>
        </w:rPr>
        <w:t xml:space="preserve"> </w:t>
      </w:r>
    </w:p>
    <w:p w14:paraId="6DCCDD3C" w14:textId="77777777" w:rsidR="001D2B5B" w:rsidRPr="0080091A" w:rsidRDefault="00103959">
      <w:pPr>
        <w:spacing w:after="212"/>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Assessment results are used to support the determination of security control effectiveness over time.   </w:t>
      </w:r>
    </w:p>
    <w:p w14:paraId="67503131" w14:textId="77777777" w:rsidR="001D2B5B" w:rsidRPr="0080091A" w:rsidRDefault="00103959">
      <w:pPr>
        <w:spacing w:after="211"/>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This publication addresses technical testing and examination techniques that can be used to identify, validate, and assess technical vulnerabilities and assist organizations in understanding and improving the security posture of their systems and networks.   </w:t>
      </w:r>
    </w:p>
    <w:p w14:paraId="0A7C224F" w14:textId="77777777" w:rsidR="001D2B5B" w:rsidRPr="0080091A" w:rsidRDefault="00103959" w:rsidP="006B218E">
      <w:pPr>
        <w:spacing w:after="357"/>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Security testing and examination is required by many regulations. It is not meant to take the place of implementing security controls and maintaining system security, but to help organizations confirm that their systems are properly secured and identify any organization security requirements that are not met as well as other security weaknesses that should be addressed.  </w:t>
      </w:r>
    </w:p>
    <w:p w14:paraId="573CEDB1" w14:textId="2DB09229" w:rsidR="001D2B5B" w:rsidRDefault="00103959">
      <w:pPr>
        <w:pStyle w:val="Heading3"/>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Information Security Assessment Methodology</w:t>
      </w:r>
    </w:p>
    <w:p w14:paraId="69E3F374" w14:textId="77777777" w:rsidR="000A33A1" w:rsidRPr="000A33A1" w:rsidRDefault="000A33A1" w:rsidP="000A33A1"/>
    <w:p w14:paraId="57777398" w14:textId="77777777" w:rsidR="001D2B5B" w:rsidRPr="0080091A" w:rsidRDefault="00103959">
      <w:pPr>
        <w:spacing w:after="442"/>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 repeatable and documented security assessment methodology is beneficial in that it can:   </w:t>
      </w:r>
    </w:p>
    <w:p w14:paraId="1C9A7553" w14:textId="77777777" w:rsidR="001D2B5B" w:rsidRPr="0080091A" w:rsidRDefault="00103959">
      <w:pPr>
        <w:numPr>
          <w:ilvl w:val="0"/>
          <w:numId w:val="5"/>
        </w:numPr>
        <w:spacing w:after="149"/>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Provide consistency and structure to security testing, which can minimize testing risks   </w:t>
      </w:r>
    </w:p>
    <w:p w14:paraId="6C93A23A" w14:textId="77777777" w:rsidR="001D2B5B" w:rsidRPr="0080091A" w:rsidRDefault="00103959">
      <w:pPr>
        <w:numPr>
          <w:ilvl w:val="0"/>
          <w:numId w:val="5"/>
        </w:numPr>
        <w:spacing w:after="149"/>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lastRenderedPageBreak/>
        <w:t xml:space="preserve">Expedite the transition of new assessment staff   </w:t>
      </w:r>
    </w:p>
    <w:p w14:paraId="76C38A4C" w14:textId="77777777" w:rsidR="001D2B5B" w:rsidRPr="0080091A" w:rsidRDefault="00103959">
      <w:pPr>
        <w:numPr>
          <w:ilvl w:val="0"/>
          <w:numId w:val="5"/>
        </w:numPr>
        <w:spacing w:after="193"/>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Address resource constraints associated with security assessments   </w:t>
      </w:r>
    </w:p>
    <w:p w14:paraId="469D6FEF" w14:textId="77777777" w:rsidR="001D2B5B" w:rsidRPr="0080091A" w:rsidRDefault="001D2B5B" w:rsidP="00DB5C9E">
      <w:pPr>
        <w:spacing w:after="0" w:line="259" w:lineRule="auto"/>
        <w:ind w:left="719" w:firstLine="0"/>
        <w:rPr>
          <w:rFonts w:ascii="Georgia" w:hAnsi="Georgia"/>
          <w:color w:val="1F4E79" w:themeColor="accent5" w:themeShade="80"/>
          <w:sz w:val="20"/>
          <w:szCs w:val="20"/>
        </w:rPr>
      </w:pPr>
    </w:p>
    <w:p w14:paraId="20DBF413" w14:textId="77777777" w:rsidR="00DB5C9E" w:rsidRPr="0080091A" w:rsidRDefault="00DB5C9E">
      <w:pPr>
        <w:spacing w:after="0" w:line="259" w:lineRule="auto"/>
        <w:ind w:left="14" w:firstLine="0"/>
        <w:rPr>
          <w:rFonts w:ascii="Georgia" w:hAnsi="Georgia"/>
          <w:color w:val="1F4E79" w:themeColor="accent5" w:themeShade="80"/>
          <w:sz w:val="20"/>
          <w:szCs w:val="20"/>
        </w:rPr>
      </w:pPr>
    </w:p>
    <w:p w14:paraId="312F44FC" w14:textId="77777777" w:rsidR="001D2B5B" w:rsidRPr="000A33A1" w:rsidRDefault="00103959">
      <w:pPr>
        <w:pStyle w:val="Heading3"/>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 xml:space="preserve">Planning   </w:t>
      </w:r>
    </w:p>
    <w:p w14:paraId="7D764758" w14:textId="77777777" w:rsidR="001D2B5B" w:rsidRPr="0080091A" w:rsidRDefault="00103959">
      <w:pPr>
        <w:spacing w:after="20"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3D9BE5F8" w14:textId="77777777" w:rsidR="001D2B5B" w:rsidRPr="0080091A" w:rsidRDefault="00103959" w:rsidP="006B218E">
      <w:pPr>
        <w:ind w:left="744"/>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Critical to a successful security assessment, the planning phase is used to gather information needed for assessment execution—such as the assets to be assessed, the threats of interest against the assets, and the security controls to be used to mitigate those threats—and to develop the assessment approach. A security assessment should be treated as any other project, with a project management plan to address goals and objectives, scope, requirements, team roles and responsibilities, limitations, success factors, assumptions, resources, timeline, and deliverables.  </w:t>
      </w:r>
    </w:p>
    <w:p w14:paraId="20D21D42" w14:textId="77777777" w:rsidR="001D2B5B" w:rsidRPr="000A33A1" w:rsidRDefault="00103959">
      <w:pPr>
        <w:pStyle w:val="Heading3"/>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 xml:space="preserve">Execution   </w:t>
      </w:r>
    </w:p>
    <w:p w14:paraId="37B92F5D" w14:textId="77777777" w:rsidR="001D2B5B" w:rsidRPr="0080091A" w:rsidRDefault="00103959">
      <w:pPr>
        <w:spacing w:after="22"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565ADA13" w14:textId="77777777" w:rsidR="001D2B5B" w:rsidRPr="0080091A" w:rsidRDefault="00103959">
      <w:pPr>
        <w:ind w:left="744"/>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Primary goals for the execution phase are to identify vulnerabilities and validate them when appropriate. This phase should address activities associated with the intended assessment method and technique. Although specific activities for this phase differ by assessment type, upon completion of this phase assessors will have identified system, network, and organizational process vulnerabilities.   </w:t>
      </w:r>
    </w:p>
    <w:p w14:paraId="766CFC31" w14:textId="77777777" w:rsidR="001D2B5B" w:rsidRPr="0080091A" w:rsidRDefault="00103959">
      <w:pPr>
        <w:spacing w:after="2" w:line="259" w:lineRule="auto"/>
        <w:ind w:left="14" w:firstLine="0"/>
        <w:rPr>
          <w:rFonts w:ascii="Georgia" w:hAnsi="Georgia"/>
          <w:color w:val="1F4E79" w:themeColor="accent5" w:themeShade="80"/>
          <w:sz w:val="20"/>
          <w:szCs w:val="20"/>
        </w:rPr>
      </w:pPr>
      <w:r w:rsidRPr="0080091A">
        <w:rPr>
          <w:rFonts w:ascii="Georgia" w:eastAsia="Arial" w:hAnsi="Georgia" w:cs="Arial"/>
          <w:color w:val="1F4E79" w:themeColor="accent5" w:themeShade="80"/>
          <w:sz w:val="20"/>
          <w:szCs w:val="20"/>
        </w:rPr>
        <w:t xml:space="preserve"> </w:t>
      </w:r>
      <w:r w:rsidRPr="0080091A">
        <w:rPr>
          <w:rFonts w:ascii="Georgia" w:hAnsi="Georgia"/>
          <w:color w:val="1F4E79" w:themeColor="accent5" w:themeShade="80"/>
          <w:sz w:val="20"/>
          <w:szCs w:val="20"/>
        </w:rPr>
        <w:t xml:space="preserve"> </w:t>
      </w:r>
    </w:p>
    <w:p w14:paraId="4E13D637" w14:textId="77777777" w:rsidR="001D2B5B" w:rsidRPr="000A33A1" w:rsidRDefault="00103959">
      <w:pPr>
        <w:pStyle w:val="Heading3"/>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 xml:space="preserve">Post-Execution   </w:t>
      </w:r>
    </w:p>
    <w:p w14:paraId="6A0DE3E7" w14:textId="77777777" w:rsidR="001D2B5B" w:rsidRPr="0080091A" w:rsidRDefault="00103959">
      <w:pPr>
        <w:spacing w:after="25"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31ED12A6" w14:textId="3DAD2D11" w:rsidR="001D2B5B" w:rsidRPr="0080091A" w:rsidRDefault="00103959">
      <w:pPr>
        <w:spacing w:after="329"/>
        <w:ind w:left="744"/>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post-execution phase focuses on </w:t>
      </w:r>
      <w:r w:rsidR="000F2D6D" w:rsidRPr="0080091A">
        <w:rPr>
          <w:rFonts w:ascii="Georgia" w:hAnsi="Georgia"/>
          <w:color w:val="1F4E79" w:themeColor="accent5" w:themeShade="80"/>
          <w:sz w:val="20"/>
          <w:szCs w:val="20"/>
        </w:rPr>
        <w:t>analysing</w:t>
      </w:r>
      <w:r w:rsidRPr="0080091A">
        <w:rPr>
          <w:rFonts w:ascii="Georgia" w:hAnsi="Georgia"/>
          <w:color w:val="1F4E79" w:themeColor="accent5" w:themeShade="80"/>
          <w:sz w:val="20"/>
          <w:szCs w:val="20"/>
        </w:rPr>
        <w:t xml:space="preserve"> identified vulnerabilities to determine root causes, establish mitigation recommendations, and develop a final report.  </w:t>
      </w:r>
    </w:p>
    <w:p w14:paraId="431950A3" w14:textId="02BA3CD0" w:rsidR="000A33A1" w:rsidRPr="000A33A1" w:rsidRDefault="00103959" w:rsidP="000A33A1">
      <w:pPr>
        <w:pStyle w:val="Heading1"/>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Management Summary</w:t>
      </w:r>
    </w:p>
    <w:p w14:paraId="3DBBAD23" w14:textId="77777777" w:rsidR="000A33A1" w:rsidRPr="000A33A1" w:rsidRDefault="000A33A1" w:rsidP="000A33A1"/>
    <w:p w14:paraId="379F5ED3" w14:textId="43A85A3D" w:rsidR="001D2B5B" w:rsidRPr="0080091A" w:rsidRDefault="00103959">
      <w:pPr>
        <w:spacing w:after="211"/>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No Critical Vulnerabilities appeared during the test, </w:t>
      </w:r>
      <w:r w:rsidR="00DE5678" w:rsidRPr="0080091A">
        <w:rPr>
          <w:rFonts w:ascii="Georgia" w:hAnsi="Georgia"/>
          <w:color w:val="1F4E79" w:themeColor="accent5" w:themeShade="80"/>
          <w:sz w:val="20"/>
          <w:szCs w:val="20"/>
        </w:rPr>
        <w:t>team</w:t>
      </w:r>
      <w:r w:rsidRPr="0080091A">
        <w:rPr>
          <w:rFonts w:ascii="Georgia" w:hAnsi="Georgia"/>
          <w:color w:val="1F4E79" w:themeColor="accent5" w:themeShade="80"/>
          <w:sz w:val="20"/>
          <w:szCs w:val="20"/>
        </w:rPr>
        <w:t xml:space="preserve"> was not able to find any vulnerability on the systems, servers were not be able to be compromised , all systems were correctly patched and well protected with the latest updates installed.  </w:t>
      </w:r>
    </w:p>
    <w:p w14:paraId="78058683" w14:textId="77777777" w:rsidR="001D2B5B" w:rsidRPr="0080091A" w:rsidRDefault="00103959">
      <w:pPr>
        <w:spacing w:after="221" w:line="262" w:lineRule="auto"/>
        <w:ind w:left="-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report found to be Compliant with PCI DSS Requirements for Penetration testing.  </w:t>
      </w:r>
    </w:p>
    <w:p w14:paraId="163EA6F2" w14:textId="201E5415" w:rsidR="001D2B5B" w:rsidRPr="000A33A1" w:rsidRDefault="00103959">
      <w:pPr>
        <w:pStyle w:val="Heading1"/>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Identified Vulnerability Details</w:t>
      </w:r>
    </w:p>
    <w:p w14:paraId="398FBA27" w14:textId="77777777" w:rsidR="009536CD" w:rsidRDefault="009536CD">
      <w:pPr>
        <w:spacing w:after="289"/>
        <w:rPr>
          <w:rFonts w:ascii="Georgia" w:hAnsi="Georgia"/>
          <w:color w:val="1F4E79" w:themeColor="accent5" w:themeShade="80"/>
          <w:sz w:val="20"/>
          <w:szCs w:val="20"/>
        </w:rPr>
      </w:pPr>
    </w:p>
    <w:p w14:paraId="7C9742EA" w14:textId="70F67267" w:rsidR="001D2B5B" w:rsidRPr="0080091A" w:rsidRDefault="00103959">
      <w:pPr>
        <w:spacing w:after="289"/>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following pages cover all identified vulnerabilities – if exist- along with remediation advice and any evidence gathered during the assessment. Each will include a 'RISK' rating and a 'CVSS' score in order that any identified issues can be prioritized. </w:t>
      </w:r>
      <w:r w:rsidR="009E0E10" w:rsidRPr="0080091A">
        <w:rPr>
          <w:rFonts w:ascii="Georgia" w:hAnsi="Georgia"/>
          <w:color w:val="1F4E79" w:themeColor="accent5" w:themeShade="80"/>
          <w:sz w:val="20"/>
          <w:szCs w:val="20"/>
        </w:rPr>
        <w:t>Genpact</w:t>
      </w:r>
      <w:r w:rsidRPr="0080091A">
        <w:rPr>
          <w:rFonts w:ascii="Georgia" w:hAnsi="Georgia"/>
          <w:color w:val="1F4E79" w:themeColor="accent5" w:themeShade="80"/>
          <w:sz w:val="20"/>
          <w:szCs w:val="20"/>
        </w:rPr>
        <w:t xml:space="preserve"> sort these issues by severity, so that the more </w:t>
      </w:r>
      <w:r w:rsidRPr="0080091A">
        <w:rPr>
          <w:rFonts w:ascii="Georgia" w:hAnsi="Georgia"/>
          <w:color w:val="1F4E79" w:themeColor="accent5" w:themeShade="80"/>
          <w:sz w:val="20"/>
          <w:szCs w:val="20"/>
        </w:rPr>
        <w:lastRenderedPageBreak/>
        <w:t xml:space="preserve">significant issues can be seen first. The following sections cover each vulnerability from a CVSS score of 0.1 to 10.   </w:t>
      </w:r>
    </w:p>
    <w:p w14:paraId="51EF0344" w14:textId="77777777" w:rsidR="001D2B5B" w:rsidRPr="0080091A" w:rsidRDefault="00103959">
      <w:pPr>
        <w:numPr>
          <w:ilvl w:val="0"/>
          <w:numId w:val="6"/>
        </w:numPr>
        <w:spacing w:after="12"/>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Summary - A breakdown of the vulnerability, any affected services and operating systems and any other pertinent information. The summary section may also include a proof of concept screenshot as evidence of the identified issue, though it may not always be feasible to include this.   </w:t>
      </w:r>
    </w:p>
    <w:p w14:paraId="595D3612" w14:textId="77777777" w:rsidR="001D2B5B" w:rsidRPr="0080091A" w:rsidRDefault="00103959">
      <w:pPr>
        <w:spacing w:after="92"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67F03FBB" w14:textId="77777777" w:rsidR="001D2B5B" w:rsidRPr="0080091A" w:rsidRDefault="00103959">
      <w:pPr>
        <w:numPr>
          <w:ilvl w:val="0"/>
          <w:numId w:val="6"/>
        </w:numPr>
        <w:spacing w:after="11"/>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Business Impact &amp; Exposure - This section covers the potential ramifications should an attacker successfully exploit the issue. As an example, this section could have indicated whether the system could be fully compromised or not.   </w:t>
      </w:r>
    </w:p>
    <w:p w14:paraId="06C9D80E" w14:textId="77777777" w:rsidR="001D2B5B" w:rsidRPr="0080091A" w:rsidRDefault="00103959">
      <w:pPr>
        <w:spacing w:after="92"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087252E0" w14:textId="77777777" w:rsidR="001D2B5B" w:rsidRPr="0080091A" w:rsidRDefault="00103959">
      <w:pPr>
        <w:numPr>
          <w:ilvl w:val="0"/>
          <w:numId w:val="6"/>
        </w:numPr>
        <w:spacing w:after="10"/>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Vulnerability Evidence - The vulnerability evidence could be service or software versions which were found in use on the system, and any fixed version that may be available. There may not always be further evidence available dependent on the type of issue found.   </w:t>
      </w:r>
    </w:p>
    <w:p w14:paraId="24E22149" w14:textId="77777777" w:rsidR="001D2B5B" w:rsidRPr="0080091A" w:rsidRDefault="00103959">
      <w:pPr>
        <w:spacing w:after="92"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4B34E7BD" w14:textId="3B703139" w:rsidR="001D2B5B" w:rsidRPr="000A33A1" w:rsidRDefault="00103959" w:rsidP="00850BDB">
      <w:pPr>
        <w:numPr>
          <w:ilvl w:val="0"/>
          <w:numId w:val="6"/>
        </w:numPr>
        <w:spacing w:after="11"/>
        <w:ind w:left="756" w:hanging="360"/>
        <w:rPr>
          <w:rFonts w:ascii="Georgia" w:hAnsi="Georgia"/>
          <w:color w:val="1F4E79" w:themeColor="accent5" w:themeShade="80"/>
          <w:sz w:val="20"/>
          <w:szCs w:val="20"/>
        </w:rPr>
      </w:pPr>
      <w:r w:rsidRPr="000A33A1">
        <w:rPr>
          <w:rFonts w:ascii="Georgia" w:hAnsi="Georgia"/>
          <w:color w:val="1F4E79" w:themeColor="accent5" w:themeShade="80"/>
          <w:sz w:val="20"/>
          <w:szCs w:val="20"/>
        </w:rPr>
        <w:t xml:space="preserve">Remediation - Any available remediation advice will be covered under this heading. This could range from operating system patching to configuration changes. This section will often contain links to vendor security update sites so that any relevant patches can be downloaded. Any remediation should be undertaken with great care. This can mean  testing the suggestions on systems that are not live, testing the advice out of hours, or testing on virtual images of live hardware.  </w:t>
      </w:r>
    </w:p>
    <w:p w14:paraId="47AB1999" w14:textId="77777777" w:rsidR="001D2B5B" w:rsidRPr="0080091A" w:rsidRDefault="00103959">
      <w:pPr>
        <w:spacing w:after="92"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0A01D78E" w14:textId="77777777" w:rsidR="001D2B5B" w:rsidRPr="0080091A" w:rsidRDefault="00103959">
      <w:pPr>
        <w:numPr>
          <w:ilvl w:val="0"/>
          <w:numId w:val="6"/>
        </w:numPr>
        <w:spacing w:after="11"/>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External References - All vulnerabilities identified will have external references available. One of the most prevalent is the CVE or 'Common Vulnerabilities &amp; Exposures'.   </w:t>
      </w:r>
    </w:p>
    <w:p w14:paraId="03B71551" w14:textId="77777777" w:rsidR="001D2B5B" w:rsidRPr="0080091A" w:rsidRDefault="00103959">
      <w:pPr>
        <w:spacing w:after="92"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21B976C8" w14:textId="77777777" w:rsidR="001D2B5B" w:rsidRPr="0080091A" w:rsidRDefault="00103959">
      <w:pPr>
        <w:numPr>
          <w:ilvl w:val="0"/>
          <w:numId w:val="6"/>
        </w:numPr>
        <w:spacing w:after="14"/>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Affected Hosts - The affected hosts table lists all hosts and ports on which the vulnerability was identified.   </w:t>
      </w:r>
    </w:p>
    <w:p w14:paraId="630E8C87" w14:textId="77777777" w:rsidR="001D2B5B" w:rsidRPr="0080091A" w:rsidRDefault="00103959">
      <w:pPr>
        <w:spacing w:after="92" w:line="259" w:lineRule="auto"/>
        <w:ind w:left="734"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  </w:t>
      </w:r>
    </w:p>
    <w:p w14:paraId="403207E3" w14:textId="717C5D34" w:rsidR="001D2B5B" w:rsidRPr="0080091A" w:rsidRDefault="00103959">
      <w:pPr>
        <w:numPr>
          <w:ilvl w:val="0"/>
          <w:numId w:val="6"/>
        </w:numPr>
        <w:ind w:hanging="36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Report Navigation - A list of identified vulnerabilities per host can </w:t>
      </w:r>
      <w:proofErr w:type="gramStart"/>
      <w:r w:rsidRPr="0080091A">
        <w:rPr>
          <w:rFonts w:ascii="Georgia" w:hAnsi="Georgia"/>
          <w:color w:val="1F4E79" w:themeColor="accent5" w:themeShade="80"/>
          <w:sz w:val="20"/>
          <w:szCs w:val="20"/>
        </w:rPr>
        <w:t>be located in</w:t>
      </w:r>
      <w:proofErr w:type="gramEnd"/>
      <w:r w:rsidRPr="0080091A">
        <w:rPr>
          <w:rFonts w:ascii="Georgia" w:hAnsi="Georgia"/>
          <w:color w:val="1F4E79" w:themeColor="accent5" w:themeShade="80"/>
          <w:sz w:val="20"/>
          <w:szCs w:val="20"/>
        </w:rPr>
        <w:t xml:space="preserve"> the 'Identified Vulnerability Summary Table (if exist).     </w:t>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r w:rsidR="00295808">
        <w:rPr>
          <w:rFonts w:ascii="Georgia" w:hAnsi="Georgia"/>
          <w:color w:val="1F4E79" w:themeColor="accent5" w:themeShade="80"/>
          <w:sz w:val="20"/>
          <w:szCs w:val="20"/>
        </w:rPr>
        <w:tab/>
      </w:r>
    </w:p>
    <w:p w14:paraId="5A655812" w14:textId="77777777" w:rsidR="001D2B5B" w:rsidRPr="000A33A1" w:rsidRDefault="00103959">
      <w:pPr>
        <w:pStyle w:val="Heading1"/>
        <w:ind w:left="-5"/>
        <w:rPr>
          <w:rFonts w:ascii="Georgia" w:hAnsi="Georgia"/>
          <w:bCs/>
          <w:color w:val="1F4E79" w:themeColor="accent5" w:themeShade="80"/>
          <w:sz w:val="20"/>
          <w:szCs w:val="20"/>
        </w:rPr>
      </w:pPr>
      <w:r w:rsidRPr="000A33A1">
        <w:rPr>
          <w:rFonts w:ascii="Georgia" w:hAnsi="Georgia"/>
          <w:bCs/>
          <w:color w:val="1F4E79" w:themeColor="accent5" w:themeShade="80"/>
          <w:sz w:val="20"/>
          <w:szCs w:val="20"/>
        </w:rPr>
        <w:t xml:space="preserve">Running Services Assessment  </w:t>
      </w:r>
    </w:p>
    <w:p w14:paraId="2A95B578" w14:textId="77777777" w:rsidR="000A33A1" w:rsidRDefault="000A33A1">
      <w:pPr>
        <w:spacing w:after="211"/>
        <w:rPr>
          <w:rFonts w:ascii="Georgia" w:hAnsi="Georgia"/>
          <w:color w:val="1F4E79" w:themeColor="accent5" w:themeShade="80"/>
          <w:sz w:val="20"/>
          <w:szCs w:val="20"/>
        </w:rPr>
      </w:pPr>
    </w:p>
    <w:p w14:paraId="7CF084C0" w14:textId="5A1D215C" w:rsidR="001D2B5B" w:rsidRPr="0080091A" w:rsidRDefault="00103959">
      <w:pPr>
        <w:spacing w:after="211"/>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During this stage the </w:t>
      </w:r>
      <w:r w:rsidR="00553178" w:rsidRPr="0080091A">
        <w:rPr>
          <w:rFonts w:ascii="Georgia" w:hAnsi="Georgia"/>
          <w:color w:val="1F4E79" w:themeColor="accent5" w:themeShade="80"/>
          <w:sz w:val="20"/>
          <w:szCs w:val="20"/>
        </w:rPr>
        <w:t>team</w:t>
      </w:r>
      <w:r w:rsidRPr="0080091A">
        <w:rPr>
          <w:rFonts w:ascii="Georgia" w:hAnsi="Georgia"/>
          <w:color w:val="1F4E79" w:themeColor="accent5" w:themeShade="80"/>
          <w:sz w:val="20"/>
          <w:szCs w:val="20"/>
        </w:rPr>
        <w:t xml:space="preserve"> performed a port mapping and manual verification for the systems in scope to identify any weak protocol or unused services.  </w:t>
      </w:r>
    </w:p>
    <w:p w14:paraId="2CDA19F8" w14:textId="77777777" w:rsidR="009536CD" w:rsidRDefault="00103959" w:rsidP="009536CD">
      <w:pPr>
        <w:spacing w:after="220" w:line="262" w:lineRule="auto"/>
        <w:ind w:left="-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No weak protocols detected, services are protected and secured with proper access list and segmentation  </w:t>
      </w:r>
    </w:p>
    <w:p w14:paraId="31775D8B" w14:textId="299DFC05" w:rsidR="00E07A8C" w:rsidRPr="0080091A" w:rsidRDefault="00103959" w:rsidP="009536CD">
      <w:pPr>
        <w:spacing w:after="220" w:line="262" w:lineRule="auto"/>
        <w:ind w:left="-5"/>
        <w:rPr>
          <w:rFonts w:ascii="Georgia" w:hAnsi="Georgia"/>
          <w:b/>
          <w:color w:val="1F4E79" w:themeColor="accent5" w:themeShade="80"/>
          <w:sz w:val="20"/>
          <w:szCs w:val="20"/>
        </w:rPr>
      </w:pPr>
      <w:r w:rsidRPr="0080091A">
        <w:rPr>
          <w:rFonts w:ascii="Georgia" w:hAnsi="Georgia"/>
          <w:color w:val="1F4E79" w:themeColor="accent5" w:themeShade="80"/>
          <w:sz w:val="20"/>
          <w:szCs w:val="20"/>
        </w:rPr>
        <w:t xml:space="preserve">Vulnerability Assessment / Penetration Test </w:t>
      </w:r>
    </w:p>
    <w:p w14:paraId="79FABF17" w14:textId="77777777" w:rsidR="009536CD" w:rsidRDefault="009536CD" w:rsidP="00452C3D">
      <w:pPr>
        <w:pStyle w:val="Heading1"/>
        <w:spacing w:after="0"/>
        <w:ind w:left="0" w:right="2757" w:firstLine="0"/>
        <w:rPr>
          <w:rFonts w:ascii="Georgia" w:hAnsi="Georgia"/>
          <w:b w:val="0"/>
          <w:color w:val="1F4E79" w:themeColor="accent5" w:themeShade="80"/>
          <w:sz w:val="20"/>
          <w:szCs w:val="20"/>
        </w:rPr>
      </w:pPr>
      <w:r>
        <w:rPr>
          <w:rFonts w:ascii="Georgia" w:hAnsi="Georgia"/>
          <w:b w:val="0"/>
          <w:color w:val="1F4E79" w:themeColor="accent5" w:themeShade="80"/>
          <w:sz w:val="20"/>
          <w:szCs w:val="20"/>
        </w:rPr>
        <w:lastRenderedPageBreak/>
        <w:t>No vulnerability noted</w:t>
      </w:r>
    </w:p>
    <w:p w14:paraId="445E1DFA" w14:textId="77777777" w:rsidR="009536CD" w:rsidRDefault="009536CD" w:rsidP="00452C3D">
      <w:pPr>
        <w:pStyle w:val="Heading1"/>
        <w:spacing w:after="0"/>
        <w:ind w:left="0" w:right="2757" w:firstLine="0"/>
        <w:rPr>
          <w:rFonts w:ascii="Georgia" w:hAnsi="Georgia"/>
          <w:b w:val="0"/>
          <w:color w:val="1F4E79" w:themeColor="accent5" w:themeShade="80"/>
          <w:sz w:val="20"/>
          <w:szCs w:val="20"/>
        </w:rPr>
      </w:pPr>
    </w:p>
    <w:p w14:paraId="5DDB0C78" w14:textId="77777777" w:rsidR="001767EA" w:rsidRDefault="00103959" w:rsidP="000A33A1">
      <w:pPr>
        <w:spacing w:after="81" w:line="259" w:lineRule="auto"/>
        <w:ind w:left="0" w:firstLine="0"/>
        <w:rPr>
          <w:rFonts w:ascii="Georgia" w:eastAsia="Times New Roman" w:hAnsi="Georgia" w:cs="Times New Roman"/>
          <w:color w:val="1F4E79" w:themeColor="accent5" w:themeShade="80"/>
          <w:sz w:val="20"/>
          <w:szCs w:val="20"/>
        </w:rPr>
      </w:pPr>
      <w:r w:rsidRPr="001767EA">
        <w:rPr>
          <w:rFonts w:ascii="Georgia" w:eastAsia="Times New Roman" w:hAnsi="Georgia" w:cs="Times New Roman"/>
          <w:b/>
          <w:bCs/>
          <w:color w:val="1F4E79" w:themeColor="accent5" w:themeShade="80"/>
          <w:sz w:val="20"/>
          <w:szCs w:val="20"/>
        </w:rPr>
        <w:t>Conclusion</w:t>
      </w:r>
      <w:r w:rsidRPr="0080091A">
        <w:rPr>
          <w:rFonts w:ascii="Georgia" w:eastAsia="Times New Roman" w:hAnsi="Georgia" w:cs="Times New Roman"/>
          <w:color w:val="1F4E79" w:themeColor="accent5" w:themeShade="80"/>
          <w:sz w:val="20"/>
          <w:szCs w:val="20"/>
        </w:rPr>
        <w:t>:</w:t>
      </w:r>
    </w:p>
    <w:p w14:paraId="50D8C4BA" w14:textId="77777777" w:rsidR="001D2B5B" w:rsidRPr="0080091A" w:rsidRDefault="00103959" w:rsidP="000A33A1">
      <w:pPr>
        <w:spacing w:after="211"/>
        <w:ind w:left="0"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Performing a thorough penetration test security assessment is a complex task which should be approached like any other software analysis – with a methodology, testing procedures, skills, knowledge and accept a vast amount of input from users, in many different locations. This requires the person assessing the application to go over each script and each parameter, and to test it for numerous possible security flaws.   </w:t>
      </w:r>
    </w:p>
    <w:p w14:paraId="26FFE29F" w14:textId="77777777" w:rsidR="001D2B5B" w:rsidRPr="0080091A" w:rsidRDefault="00103959" w:rsidP="000A33A1">
      <w:pPr>
        <w:spacing w:after="336"/>
        <w:ind w:left="0" w:firstLine="0"/>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Once applying the remediation instruction for each finding (if exist) in this report, the risk will be reduced and protect against any attacks and the environment will be secured.  </w:t>
      </w:r>
    </w:p>
    <w:p w14:paraId="6EF13B48" w14:textId="77777777" w:rsidR="001D2B5B" w:rsidRPr="001767EA" w:rsidRDefault="00103959" w:rsidP="000A33A1">
      <w:pPr>
        <w:pStyle w:val="Heading1"/>
        <w:ind w:left="0" w:firstLine="0"/>
        <w:rPr>
          <w:rFonts w:ascii="Georgia" w:hAnsi="Georgia"/>
          <w:bCs/>
          <w:color w:val="1F4E79" w:themeColor="accent5" w:themeShade="80"/>
          <w:sz w:val="20"/>
          <w:szCs w:val="20"/>
        </w:rPr>
      </w:pPr>
      <w:r w:rsidRPr="001767EA">
        <w:rPr>
          <w:rFonts w:ascii="Georgia" w:hAnsi="Georgia"/>
          <w:bCs/>
          <w:color w:val="1F4E79" w:themeColor="accent5" w:themeShade="80"/>
          <w:sz w:val="20"/>
          <w:szCs w:val="20"/>
        </w:rPr>
        <w:t xml:space="preserve">Appendix A - Explanation of Severities  </w:t>
      </w:r>
    </w:p>
    <w:p w14:paraId="76B33BD4" w14:textId="77777777" w:rsidR="009536CD" w:rsidRDefault="009536CD" w:rsidP="000A33A1">
      <w:pPr>
        <w:spacing w:after="275"/>
        <w:rPr>
          <w:rFonts w:ascii="Georgia" w:hAnsi="Georgia"/>
          <w:color w:val="1F4E79" w:themeColor="accent5" w:themeShade="80"/>
          <w:sz w:val="20"/>
          <w:szCs w:val="20"/>
        </w:rPr>
      </w:pPr>
    </w:p>
    <w:p w14:paraId="377C38AF" w14:textId="343F2D22" w:rsidR="001D2B5B" w:rsidRPr="0080091A" w:rsidRDefault="00103959" w:rsidP="000A33A1">
      <w:pPr>
        <w:spacing w:after="275"/>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Common Vulnerability Scoring System (CVSS) provides an open framework for communicating the characteristics and impacts of IT vulnerabilities. Its quantitative model ensures repeatable accurate measurement while enabling users to see the underlying vulnerability characteristics that were used to generate the scores. Thus, CVSS is well suited as a standard measurement system for industries, organizations, and governments that need accurate and consistent vulnerability impact scores. Two common uses of CVSS are prioritization of vulnerability remediation activities and in calculating the severity of vulnerabilities discovered on one's systems. The National Vulnerability Database (NVD) provides CVSS scores for almost all known vulnerabilities.   </w:t>
      </w:r>
    </w:p>
    <w:p w14:paraId="53E688D5" w14:textId="11FD84D1" w:rsidR="001D2B5B" w:rsidRDefault="00103959" w:rsidP="000A33A1">
      <w:pPr>
        <w:spacing w:after="27" w:line="259" w:lineRule="auto"/>
        <w:rPr>
          <w:rFonts w:ascii="Georgia" w:hAnsi="Georgia"/>
          <w:color w:val="1F4E79" w:themeColor="accent5" w:themeShade="80"/>
          <w:sz w:val="20"/>
          <w:szCs w:val="20"/>
        </w:rPr>
      </w:pPr>
      <w:r w:rsidRPr="0080091A">
        <w:rPr>
          <w:rFonts w:ascii="Georgia" w:hAnsi="Georgia"/>
          <w:color w:val="1F4E79" w:themeColor="accent5" w:themeShade="80"/>
          <w:sz w:val="20"/>
          <w:szCs w:val="20"/>
        </w:rPr>
        <w:t xml:space="preserve">The five tiers of the used model are CRITICAL, HIGH, MEDIUM, </w:t>
      </w:r>
      <w:r w:rsidR="000A33A1" w:rsidRPr="0080091A">
        <w:rPr>
          <w:rFonts w:ascii="Georgia" w:hAnsi="Georgia"/>
          <w:color w:val="1F4E79" w:themeColor="accent5" w:themeShade="80"/>
          <w:sz w:val="20"/>
          <w:szCs w:val="20"/>
        </w:rPr>
        <w:t>LOW,</w:t>
      </w:r>
      <w:r w:rsidRPr="0080091A">
        <w:rPr>
          <w:rFonts w:ascii="Georgia" w:hAnsi="Georgia"/>
          <w:color w:val="1F4E79" w:themeColor="accent5" w:themeShade="80"/>
          <w:sz w:val="20"/>
          <w:szCs w:val="20"/>
        </w:rPr>
        <w:t xml:space="preserve"> and Informational.</w:t>
      </w:r>
    </w:p>
    <w:p w14:paraId="3959EE1E" w14:textId="77777777" w:rsidR="000A33A1" w:rsidRPr="0080091A" w:rsidRDefault="000A33A1" w:rsidP="000A33A1">
      <w:pPr>
        <w:spacing w:after="0" w:line="262" w:lineRule="auto"/>
        <w:rPr>
          <w:rFonts w:ascii="Georgia" w:hAnsi="Georgia"/>
          <w:color w:val="1F4E79" w:themeColor="accent5" w:themeShade="80"/>
          <w:sz w:val="20"/>
          <w:szCs w:val="20"/>
        </w:rPr>
      </w:pPr>
    </w:p>
    <w:tbl>
      <w:tblPr>
        <w:tblStyle w:val="TableGrid"/>
        <w:tblW w:w="0" w:type="auto"/>
        <w:tblInd w:w="0" w:type="dxa"/>
        <w:tblCellMar>
          <w:top w:w="90" w:type="dxa"/>
          <w:left w:w="115" w:type="dxa"/>
          <w:right w:w="115" w:type="dxa"/>
        </w:tblCellMar>
        <w:tblLook w:val="04A0" w:firstRow="1" w:lastRow="0" w:firstColumn="1" w:lastColumn="0" w:noHBand="0" w:noVBand="1"/>
      </w:tblPr>
      <w:tblGrid>
        <w:gridCol w:w="1479"/>
        <w:gridCol w:w="2161"/>
      </w:tblGrid>
      <w:tr w:rsidR="0080091A" w:rsidRPr="0080091A" w14:paraId="4FADF3C2" w14:textId="77777777" w:rsidTr="000A33A1">
        <w:trPr>
          <w:trHeight w:val="20"/>
        </w:trPr>
        <w:tc>
          <w:tcPr>
            <w:tcW w:w="0" w:type="auto"/>
            <w:tcBorders>
              <w:top w:val="single" w:sz="8" w:space="0" w:color="000000"/>
              <w:left w:val="single" w:sz="8" w:space="0" w:color="000000"/>
              <w:bottom w:val="single" w:sz="6" w:space="0" w:color="000000"/>
              <w:right w:val="single" w:sz="6" w:space="0" w:color="000000"/>
            </w:tcBorders>
            <w:shd w:val="clear" w:color="auto" w:fill="FF555F"/>
            <w:vAlign w:val="center"/>
          </w:tcPr>
          <w:p w14:paraId="4E1C3C5A" w14:textId="41B1BD6F" w:rsidR="001D2B5B" w:rsidRPr="0080091A" w:rsidRDefault="00103959" w:rsidP="000A33A1">
            <w:pPr>
              <w:spacing w:after="0" w:line="240" w:lineRule="auto"/>
              <w:ind w:left="0" w:right="13"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Severity</w:t>
            </w:r>
          </w:p>
        </w:tc>
        <w:tc>
          <w:tcPr>
            <w:tcW w:w="0" w:type="auto"/>
            <w:tcBorders>
              <w:top w:val="single" w:sz="8" w:space="0" w:color="000000"/>
              <w:left w:val="single" w:sz="6" w:space="0" w:color="000000"/>
              <w:bottom w:val="single" w:sz="6" w:space="0" w:color="000000"/>
              <w:right w:val="single" w:sz="8" w:space="0" w:color="000000"/>
            </w:tcBorders>
            <w:shd w:val="clear" w:color="auto" w:fill="FF555F"/>
            <w:vAlign w:val="center"/>
          </w:tcPr>
          <w:p w14:paraId="2C4434E5" w14:textId="5ABD1640" w:rsidR="001D2B5B" w:rsidRPr="0080091A" w:rsidRDefault="00103959" w:rsidP="000A33A1">
            <w:pPr>
              <w:spacing w:after="0" w:line="240" w:lineRule="auto"/>
              <w:ind w:left="0" w:right="8"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CVSS v2.0 Base Score</w:t>
            </w:r>
          </w:p>
        </w:tc>
      </w:tr>
      <w:tr w:rsidR="0080091A" w:rsidRPr="0080091A" w14:paraId="7367BCF2"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vAlign w:val="center"/>
          </w:tcPr>
          <w:p w14:paraId="5F6D26A7" w14:textId="230B87AB" w:rsidR="001D2B5B" w:rsidRPr="0080091A" w:rsidRDefault="00103959" w:rsidP="000A33A1">
            <w:pPr>
              <w:spacing w:after="0" w:line="240" w:lineRule="auto"/>
              <w:ind w:left="0" w:right="6"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Critical</w:t>
            </w:r>
          </w:p>
        </w:tc>
        <w:tc>
          <w:tcPr>
            <w:tcW w:w="0" w:type="auto"/>
            <w:tcBorders>
              <w:top w:val="single" w:sz="6" w:space="0" w:color="000000"/>
              <w:left w:val="single" w:sz="6" w:space="0" w:color="000000"/>
              <w:bottom w:val="single" w:sz="6" w:space="0" w:color="000000"/>
              <w:right w:val="single" w:sz="8" w:space="0" w:color="000000"/>
            </w:tcBorders>
            <w:vAlign w:val="center"/>
          </w:tcPr>
          <w:p w14:paraId="7970B1F3" w14:textId="0C606C9D" w:rsidR="001D2B5B" w:rsidRPr="0080091A" w:rsidRDefault="00103959" w:rsidP="000A33A1">
            <w:pPr>
              <w:spacing w:after="0" w:line="240" w:lineRule="auto"/>
              <w:ind w:left="0" w:right="3"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10</w:t>
            </w:r>
          </w:p>
        </w:tc>
      </w:tr>
      <w:tr w:rsidR="0080091A" w:rsidRPr="0080091A" w14:paraId="0DB2A7C1"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shd w:val="clear" w:color="auto" w:fill="D6DCE4"/>
            <w:vAlign w:val="center"/>
          </w:tcPr>
          <w:p w14:paraId="6DC891EA" w14:textId="6A336D11" w:rsidR="001D2B5B" w:rsidRPr="0080091A" w:rsidRDefault="00103959" w:rsidP="000A33A1">
            <w:pPr>
              <w:spacing w:after="0" w:line="240" w:lineRule="auto"/>
              <w:ind w:left="0" w:right="3"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High</w:t>
            </w:r>
          </w:p>
        </w:tc>
        <w:tc>
          <w:tcPr>
            <w:tcW w:w="0" w:type="auto"/>
            <w:tcBorders>
              <w:top w:val="single" w:sz="6" w:space="0" w:color="000000"/>
              <w:left w:val="single" w:sz="6" w:space="0" w:color="000000"/>
              <w:bottom w:val="single" w:sz="6" w:space="0" w:color="000000"/>
              <w:right w:val="single" w:sz="8" w:space="0" w:color="000000"/>
            </w:tcBorders>
            <w:shd w:val="clear" w:color="auto" w:fill="D6DCE4"/>
            <w:vAlign w:val="center"/>
          </w:tcPr>
          <w:p w14:paraId="42929D8B" w14:textId="51EC218E" w:rsidR="001D2B5B" w:rsidRPr="0080091A" w:rsidRDefault="00103959" w:rsidP="000A33A1">
            <w:pPr>
              <w:spacing w:after="0" w:line="240" w:lineRule="auto"/>
              <w:ind w:left="0"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7.0 - 9.9</w:t>
            </w:r>
          </w:p>
        </w:tc>
      </w:tr>
      <w:tr w:rsidR="0080091A" w:rsidRPr="0080091A" w14:paraId="2FC6D61B"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vAlign w:val="center"/>
          </w:tcPr>
          <w:p w14:paraId="19DA4AD1" w14:textId="6AD03281" w:rsidR="001D2B5B" w:rsidRPr="0080091A" w:rsidRDefault="00103959" w:rsidP="000A33A1">
            <w:pPr>
              <w:spacing w:after="0" w:line="240" w:lineRule="auto"/>
              <w:ind w:left="0" w:right="8"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Medium</w:t>
            </w:r>
          </w:p>
        </w:tc>
        <w:tc>
          <w:tcPr>
            <w:tcW w:w="0" w:type="auto"/>
            <w:tcBorders>
              <w:top w:val="single" w:sz="6" w:space="0" w:color="000000"/>
              <w:left w:val="single" w:sz="6" w:space="0" w:color="000000"/>
              <w:bottom w:val="single" w:sz="6" w:space="0" w:color="000000"/>
              <w:right w:val="single" w:sz="8" w:space="0" w:color="000000"/>
            </w:tcBorders>
            <w:vAlign w:val="center"/>
          </w:tcPr>
          <w:p w14:paraId="6674F423" w14:textId="502E6A9C" w:rsidR="001D2B5B" w:rsidRPr="0080091A" w:rsidRDefault="00103959" w:rsidP="000A33A1">
            <w:pPr>
              <w:spacing w:after="0" w:line="240" w:lineRule="auto"/>
              <w:ind w:left="0"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4.0 - 6.9</w:t>
            </w:r>
          </w:p>
        </w:tc>
      </w:tr>
      <w:tr w:rsidR="0080091A" w:rsidRPr="0080091A" w14:paraId="7E0EAFAA" w14:textId="77777777" w:rsidTr="000A33A1">
        <w:trPr>
          <w:trHeight w:val="20"/>
        </w:trPr>
        <w:tc>
          <w:tcPr>
            <w:tcW w:w="0" w:type="auto"/>
            <w:tcBorders>
              <w:top w:val="single" w:sz="6" w:space="0" w:color="000000"/>
              <w:left w:val="single" w:sz="8" w:space="0" w:color="000000"/>
              <w:bottom w:val="single" w:sz="6" w:space="0" w:color="000000"/>
              <w:right w:val="single" w:sz="6" w:space="0" w:color="000000"/>
            </w:tcBorders>
            <w:shd w:val="clear" w:color="auto" w:fill="D6DCE4"/>
            <w:vAlign w:val="center"/>
          </w:tcPr>
          <w:p w14:paraId="7A109928" w14:textId="1FBCC44E" w:rsidR="001D2B5B" w:rsidRPr="0080091A" w:rsidRDefault="00103959" w:rsidP="000A33A1">
            <w:pPr>
              <w:spacing w:after="0" w:line="240" w:lineRule="auto"/>
              <w:ind w:left="0" w:right="5"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Low</w:t>
            </w:r>
          </w:p>
        </w:tc>
        <w:tc>
          <w:tcPr>
            <w:tcW w:w="0" w:type="auto"/>
            <w:tcBorders>
              <w:top w:val="single" w:sz="6" w:space="0" w:color="000000"/>
              <w:left w:val="single" w:sz="6" w:space="0" w:color="000000"/>
              <w:bottom w:val="single" w:sz="6" w:space="0" w:color="000000"/>
              <w:right w:val="single" w:sz="8" w:space="0" w:color="000000"/>
            </w:tcBorders>
            <w:shd w:val="clear" w:color="auto" w:fill="D6DCE4"/>
            <w:vAlign w:val="center"/>
          </w:tcPr>
          <w:p w14:paraId="69D07B14" w14:textId="27C3B1D0" w:rsidR="001D2B5B" w:rsidRPr="0080091A" w:rsidRDefault="00103959" w:rsidP="000A33A1">
            <w:pPr>
              <w:spacing w:after="0" w:line="240" w:lineRule="auto"/>
              <w:ind w:left="0"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0.0 - 3.9</w:t>
            </w:r>
          </w:p>
        </w:tc>
      </w:tr>
      <w:tr w:rsidR="0080091A" w:rsidRPr="0080091A" w14:paraId="667726ED" w14:textId="77777777" w:rsidTr="000A33A1">
        <w:trPr>
          <w:trHeight w:val="20"/>
        </w:trPr>
        <w:tc>
          <w:tcPr>
            <w:tcW w:w="0" w:type="auto"/>
            <w:tcBorders>
              <w:top w:val="single" w:sz="6" w:space="0" w:color="000000"/>
              <w:left w:val="single" w:sz="8" w:space="0" w:color="000000"/>
              <w:bottom w:val="single" w:sz="8" w:space="0" w:color="000000"/>
              <w:right w:val="single" w:sz="6" w:space="0" w:color="000000"/>
            </w:tcBorders>
            <w:vAlign w:val="center"/>
          </w:tcPr>
          <w:p w14:paraId="14760133" w14:textId="19894B5C" w:rsidR="001D2B5B" w:rsidRPr="0080091A" w:rsidRDefault="00103959" w:rsidP="000A33A1">
            <w:pPr>
              <w:spacing w:after="0" w:line="240" w:lineRule="auto"/>
              <w:ind w:left="0" w:right="9"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Informational</w:t>
            </w:r>
          </w:p>
        </w:tc>
        <w:tc>
          <w:tcPr>
            <w:tcW w:w="0" w:type="auto"/>
            <w:tcBorders>
              <w:top w:val="single" w:sz="6" w:space="0" w:color="000000"/>
              <w:left w:val="single" w:sz="6" w:space="0" w:color="000000"/>
              <w:bottom w:val="single" w:sz="8" w:space="0" w:color="000000"/>
              <w:right w:val="single" w:sz="8" w:space="0" w:color="000000"/>
            </w:tcBorders>
            <w:vAlign w:val="center"/>
          </w:tcPr>
          <w:p w14:paraId="0E18BF7F" w14:textId="431CD73F" w:rsidR="001D2B5B" w:rsidRPr="0080091A" w:rsidRDefault="00103959" w:rsidP="000A33A1">
            <w:pPr>
              <w:spacing w:after="0" w:line="240" w:lineRule="auto"/>
              <w:ind w:left="3" w:firstLine="0"/>
              <w:jc w:val="center"/>
              <w:rPr>
                <w:rFonts w:ascii="Georgia" w:hAnsi="Georgia"/>
                <w:color w:val="1F4E79" w:themeColor="accent5" w:themeShade="80"/>
                <w:sz w:val="20"/>
                <w:szCs w:val="20"/>
              </w:rPr>
            </w:pPr>
            <w:r w:rsidRPr="0080091A">
              <w:rPr>
                <w:rFonts w:ascii="Georgia" w:hAnsi="Georgia"/>
                <w:color w:val="1F4E79" w:themeColor="accent5" w:themeShade="80"/>
                <w:sz w:val="20"/>
                <w:szCs w:val="20"/>
              </w:rPr>
              <w:t>N/A</w:t>
            </w:r>
          </w:p>
        </w:tc>
      </w:tr>
    </w:tbl>
    <w:p w14:paraId="0986979A" w14:textId="3D0E7342" w:rsidR="001D2B5B" w:rsidRPr="0080091A" w:rsidRDefault="001D2B5B" w:rsidP="00C12403">
      <w:pPr>
        <w:spacing w:after="160" w:line="259" w:lineRule="auto"/>
        <w:ind w:left="0" w:firstLine="0"/>
        <w:rPr>
          <w:rFonts w:ascii="Georgia" w:hAnsi="Georgia"/>
          <w:color w:val="1F4E79" w:themeColor="accent5" w:themeShade="80"/>
          <w:sz w:val="20"/>
          <w:szCs w:val="20"/>
        </w:rPr>
      </w:pPr>
    </w:p>
    <w:sectPr w:rsidR="001D2B5B" w:rsidRPr="0080091A" w:rsidSect="00C12403">
      <w:headerReference w:type="even" r:id="rId11"/>
      <w:headerReference w:type="default" r:id="rId12"/>
      <w:footerReference w:type="even" r:id="rId13"/>
      <w:footerReference w:type="default" r:id="rId14"/>
      <w:headerReference w:type="first" r:id="rId15"/>
      <w:footerReference w:type="first" r:id="rId16"/>
      <w:pgSz w:w="12240" w:h="15840"/>
      <w:pgMar w:top="2955" w:right="1478" w:bottom="1592" w:left="1440" w:header="716" w:footer="5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CD299" w14:textId="77777777" w:rsidR="00216965" w:rsidRDefault="00216965">
      <w:pPr>
        <w:spacing w:after="0" w:line="240" w:lineRule="auto"/>
      </w:pPr>
      <w:r>
        <w:separator/>
      </w:r>
    </w:p>
  </w:endnote>
  <w:endnote w:type="continuationSeparator" w:id="0">
    <w:p w14:paraId="2AF8A941" w14:textId="77777777" w:rsidR="00216965" w:rsidRDefault="00216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9729D" w14:textId="77777777" w:rsidR="00276FC5" w:rsidRDefault="00276FC5">
    <w:pPr>
      <w:spacing w:after="0" w:line="259" w:lineRule="auto"/>
      <w:ind w:left="1440" w:firstLine="0"/>
    </w:pPr>
    <w:r>
      <w:rPr>
        <w:noProof/>
        <w:sz w:val="22"/>
        <w:lang w:val="en-US" w:eastAsia="en-US"/>
      </w:rPr>
      <mc:AlternateContent>
        <mc:Choice Requires="wpg">
          <w:drawing>
            <wp:anchor distT="0" distB="0" distL="114300" distR="114300" simplePos="0" relativeHeight="251667456" behindDoc="0" locked="0" layoutInCell="1" allowOverlap="1" wp14:anchorId="45E9024F" wp14:editId="170A70AF">
              <wp:simplePos x="0" y="0"/>
              <wp:positionH relativeFrom="page">
                <wp:posOffset>149225</wp:posOffset>
              </wp:positionH>
              <wp:positionV relativeFrom="page">
                <wp:posOffset>9309735</wp:posOffset>
              </wp:positionV>
              <wp:extent cx="6937375" cy="38100"/>
              <wp:effectExtent l="0" t="0" r="0" b="0"/>
              <wp:wrapSquare wrapText="bothSides"/>
              <wp:docPr id="40220" name="Group 40220"/>
              <wp:cNvGraphicFramePr/>
              <a:graphic xmlns:a="http://schemas.openxmlformats.org/drawingml/2006/main">
                <a:graphicData uri="http://schemas.microsoft.com/office/word/2010/wordprocessingGroup">
                  <wpg:wgp>
                    <wpg:cNvGrpSpPr/>
                    <wpg:grpSpPr>
                      <a:xfrm>
                        <a:off x="0" y="0"/>
                        <a:ext cx="6937375" cy="38100"/>
                        <a:chOff x="0" y="0"/>
                        <a:chExt cx="6937375" cy="38100"/>
                      </a:xfrm>
                    </wpg:grpSpPr>
                    <wps:wsp>
                      <wps:cNvPr id="40221" name="Shape 40221"/>
                      <wps:cNvSpPr/>
                      <wps:spPr>
                        <a:xfrm>
                          <a:off x="0" y="0"/>
                          <a:ext cx="6937375" cy="0"/>
                        </a:xfrm>
                        <a:custGeom>
                          <a:avLst/>
                          <a:gdLst/>
                          <a:ahLst/>
                          <a:cxnLst/>
                          <a:rect l="0" t="0" r="0" b="0"/>
                          <a:pathLst>
                            <a:path w="6937375">
                              <a:moveTo>
                                <a:pt x="0" y="0"/>
                              </a:moveTo>
                              <a:lnTo>
                                <a:pt x="6937375" y="0"/>
                              </a:lnTo>
                            </a:path>
                          </a:pathLst>
                        </a:custGeom>
                        <a:ln w="38100" cap="flat">
                          <a:round/>
                        </a:ln>
                      </wps:spPr>
                      <wps:style>
                        <a:lnRef idx="1">
                          <a:srgbClr val="339966"/>
                        </a:lnRef>
                        <a:fillRef idx="0">
                          <a:srgbClr val="000000">
                            <a:alpha val="0"/>
                          </a:srgbClr>
                        </a:fillRef>
                        <a:effectRef idx="0">
                          <a:scrgbClr r="0" g="0" b="0"/>
                        </a:effectRef>
                        <a:fontRef idx="none"/>
                      </wps:style>
                      <wps:bodyPr/>
                    </wps:wsp>
                  </wpg:wgp>
                </a:graphicData>
              </a:graphic>
            </wp:anchor>
          </w:drawing>
        </mc:Choice>
        <mc:Fallback>
          <w:pict>
            <v:group w14:anchorId="6A2A4020" id="Group 40220" o:spid="_x0000_s1026" style="position:absolute;margin-left:11.75pt;margin-top:733.05pt;width:546.25pt;height:3pt;z-index:251667456;mso-position-horizontal-relative:page;mso-position-vertical-relative:page" coordsize="693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">
              <v:shape id="Shape 40221" o:spid="_x0000_s1027" style="position:absolute;width:69373;height:0;visibility:visible;mso-wrap-style:square;v-text-anchor:top" coordsize="6937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" path="m,l6937375,e" filled="f" strokecolor="#396" strokeweight="3pt">
                <v:path arrowok="t" textboxrect="0,0,6937375,0"/>
              </v:shape>
              <w10:wrap type="square" anchorx="page" anchory="page"/>
            </v:group>
          </w:pict>
        </mc:Fallback>
      </mc:AlternateContent>
    </w:r>
    <w:r>
      <w:rPr>
        <w:rFonts w:ascii="Arial" w:eastAsia="Arial" w:hAnsi="Arial" w:cs="Arial"/>
        <w:sz w:val="20"/>
      </w:rPr>
      <w:t xml:space="preserve"> </w:t>
    </w:r>
    <w:r>
      <w:t xml:space="preserve"> </w:t>
    </w:r>
  </w:p>
  <w:p w14:paraId="2D2EDE35" w14:textId="77777777" w:rsidR="00276FC5" w:rsidRDefault="00276FC5">
    <w:pPr>
      <w:spacing w:after="0" w:line="259" w:lineRule="auto"/>
      <w:ind w:left="1440" w:firstLine="0"/>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 MERGEFORMAT </w:instrText>
    </w:r>
    <w:r>
      <w:rPr>
        <w:rFonts w:ascii="Arial" w:eastAsia="Arial" w:hAnsi="Arial" w:cs="Arial"/>
        <w:sz w:val="20"/>
      </w:rP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2CE69" w14:textId="77777777" w:rsidR="00276FC5" w:rsidRDefault="00020A75" w:rsidP="00020A75">
    <w:pPr>
      <w:spacing w:after="0" w:line="259" w:lineRule="auto"/>
      <w:ind w:left="1440" w:firstLine="0"/>
      <w:jc w:val="center"/>
    </w:pPr>
    <w:r>
      <w:rPr>
        <w:noProof/>
        <w:sz w:val="22"/>
        <w:lang w:val="en-US" w:eastAsia="en-US"/>
      </w:rPr>
      <w:t>Classification: Genpact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AC2E0" w14:textId="77777777" w:rsidR="00276FC5" w:rsidRDefault="00276FC5">
    <w:pPr>
      <w:spacing w:after="0" w:line="259" w:lineRule="auto"/>
      <w:ind w:left="1440" w:firstLine="0"/>
    </w:pPr>
    <w:r>
      <w:rPr>
        <w:noProof/>
        <w:sz w:val="22"/>
        <w:lang w:val="en-US" w:eastAsia="en-US"/>
      </w:rPr>
      <mc:AlternateContent>
        <mc:Choice Requires="wpg">
          <w:drawing>
            <wp:anchor distT="0" distB="0" distL="114300" distR="114300" simplePos="0" relativeHeight="251669504" behindDoc="0" locked="0" layoutInCell="1" allowOverlap="1" wp14:anchorId="42CCD0EC" wp14:editId="4677CB9F">
              <wp:simplePos x="0" y="0"/>
              <wp:positionH relativeFrom="page">
                <wp:posOffset>149225</wp:posOffset>
              </wp:positionH>
              <wp:positionV relativeFrom="page">
                <wp:posOffset>9309735</wp:posOffset>
              </wp:positionV>
              <wp:extent cx="6937375" cy="38100"/>
              <wp:effectExtent l="0" t="0" r="0" b="0"/>
              <wp:wrapSquare wrapText="bothSides"/>
              <wp:docPr id="40162" name="Group 40162"/>
              <wp:cNvGraphicFramePr/>
              <a:graphic xmlns:a="http://schemas.openxmlformats.org/drawingml/2006/main">
                <a:graphicData uri="http://schemas.microsoft.com/office/word/2010/wordprocessingGroup">
                  <wpg:wgp>
                    <wpg:cNvGrpSpPr/>
                    <wpg:grpSpPr>
                      <a:xfrm>
                        <a:off x="0" y="0"/>
                        <a:ext cx="6937375" cy="38100"/>
                        <a:chOff x="0" y="0"/>
                        <a:chExt cx="6937375" cy="38100"/>
                      </a:xfrm>
                    </wpg:grpSpPr>
                    <wps:wsp>
                      <wps:cNvPr id="40163" name="Shape 40163"/>
                      <wps:cNvSpPr/>
                      <wps:spPr>
                        <a:xfrm>
                          <a:off x="0" y="0"/>
                          <a:ext cx="6937375" cy="0"/>
                        </a:xfrm>
                        <a:custGeom>
                          <a:avLst/>
                          <a:gdLst/>
                          <a:ahLst/>
                          <a:cxnLst/>
                          <a:rect l="0" t="0" r="0" b="0"/>
                          <a:pathLst>
                            <a:path w="6937375">
                              <a:moveTo>
                                <a:pt x="0" y="0"/>
                              </a:moveTo>
                              <a:lnTo>
                                <a:pt x="6937375" y="0"/>
                              </a:lnTo>
                            </a:path>
                          </a:pathLst>
                        </a:custGeom>
                        <a:ln w="38100" cap="flat">
                          <a:round/>
                        </a:ln>
                      </wps:spPr>
                      <wps:style>
                        <a:lnRef idx="1">
                          <a:srgbClr val="339966"/>
                        </a:lnRef>
                        <a:fillRef idx="0">
                          <a:srgbClr val="000000">
                            <a:alpha val="0"/>
                          </a:srgbClr>
                        </a:fillRef>
                        <a:effectRef idx="0">
                          <a:scrgbClr r="0" g="0" b="0"/>
                        </a:effectRef>
                        <a:fontRef idx="none"/>
                      </wps:style>
                      <wps:bodyPr/>
                    </wps:wsp>
                  </wpg:wgp>
                </a:graphicData>
              </a:graphic>
            </wp:anchor>
          </w:drawing>
        </mc:Choice>
        <mc:Fallback>
          <w:pict>
            <v:group w14:anchorId="63A9494F" id="Group 40162" o:spid="_x0000_s1026" style="position:absolute;margin-left:11.75pt;margin-top:733.05pt;width:546.25pt;height:3pt;z-index:251669504;mso-position-horizontal-relative:page;mso-position-vertical-relative:page" coordsize="6937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">
              <v:shape id="Shape 40163" o:spid="_x0000_s1027" style="position:absolute;width:69373;height:0;visibility:visible;mso-wrap-style:square;v-text-anchor:top" coordsize="6937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" path="m,l6937375,e" filled="f" strokecolor="#396" strokeweight="3pt">
                <v:path arrowok="t" textboxrect="0,0,6937375,0"/>
              </v:shape>
              <w10:wrap type="square" anchorx="page" anchory="page"/>
            </v:group>
          </w:pict>
        </mc:Fallback>
      </mc:AlternateContent>
    </w:r>
    <w:r>
      <w:rPr>
        <w:rFonts w:ascii="Arial" w:eastAsia="Arial" w:hAnsi="Arial" w:cs="Arial"/>
        <w:sz w:val="20"/>
      </w:rPr>
      <w:t xml:space="preserve"> </w:t>
    </w:r>
    <w:r>
      <w:t xml:space="preserve"> </w:t>
    </w:r>
  </w:p>
  <w:p w14:paraId="7042F818" w14:textId="77777777" w:rsidR="00276FC5" w:rsidRDefault="00276FC5">
    <w:pPr>
      <w:spacing w:after="0" w:line="259" w:lineRule="auto"/>
      <w:ind w:left="1440" w:firstLine="0"/>
    </w:pPr>
    <w:r>
      <w:rPr>
        <w:rFonts w:ascii="Arial" w:eastAsia="Arial" w:hAnsi="Arial" w:cs="Arial"/>
        <w:sz w:val="20"/>
      </w:rPr>
      <w:t xml:space="preserve">Page </w:t>
    </w:r>
    <w:r>
      <w:fldChar w:fldCharType="begin"/>
    </w:r>
    <w:r>
      <w:instrText xml:space="preserve"> PAGE   \* MERGEFORMAT </w:instrText>
    </w:r>
    <w:r>
      <w:fldChar w:fldCharType="separate"/>
    </w:r>
    <w:r>
      <w:rPr>
        <w:rFonts w:ascii="Arial" w:eastAsia="Arial" w:hAnsi="Arial" w:cs="Arial"/>
        <w:sz w:val="20"/>
      </w:rPr>
      <w:t>10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 MERGEFORMAT </w:instrText>
    </w:r>
    <w:r>
      <w:rPr>
        <w:rFonts w:ascii="Arial" w:eastAsia="Arial" w:hAnsi="Arial" w:cs="Arial"/>
        <w:sz w:val="20"/>
      </w:rPr>
      <w:fldChar w:fldCharType="separate"/>
    </w:r>
    <w:r>
      <w:rPr>
        <w:rFonts w:ascii="Arial" w:eastAsia="Arial" w:hAnsi="Arial" w:cs="Arial"/>
        <w:sz w:val="20"/>
      </w:rPr>
      <w:t>15</w:t>
    </w:r>
    <w:r>
      <w:rPr>
        <w:rFonts w:ascii="Arial" w:eastAsia="Arial" w:hAnsi="Arial" w:cs="Arial"/>
        <w:sz w:val="20"/>
      </w:rPr>
      <w:fldChar w:fldCharType="end"/>
    </w:r>
    <w:r>
      <w:rPr>
        <w:rFonts w:ascii="Arial" w:eastAsia="Arial" w:hAnsi="Arial" w:cs="Arial"/>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E71EA" w14:textId="77777777" w:rsidR="00216965" w:rsidRDefault="00216965">
      <w:pPr>
        <w:spacing w:after="0" w:line="240" w:lineRule="auto"/>
      </w:pPr>
      <w:r>
        <w:separator/>
      </w:r>
    </w:p>
  </w:footnote>
  <w:footnote w:type="continuationSeparator" w:id="0">
    <w:p w14:paraId="3E5C7E32" w14:textId="77777777" w:rsidR="00216965" w:rsidRDefault="00216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6C6E1" w14:textId="77777777" w:rsidR="00276FC5" w:rsidRDefault="00276FC5">
    <w:pPr>
      <w:spacing w:after="0" w:line="259" w:lineRule="auto"/>
      <w:ind w:left="0" w:right="-22" w:firstLine="0"/>
      <w:jc w:val="right"/>
    </w:pPr>
    <w:r>
      <w:rPr>
        <w:noProof/>
        <w:lang w:val="en-US" w:eastAsia="en-US"/>
      </w:rPr>
      <w:drawing>
        <wp:anchor distT="0" distB="0" distL="114300" distR="114300" simplePos="0" relativeHeight="251664384" behindDoc="0" locked="0" layoutInCell="1" allowOverlap="0" wp14:anchorId="06C26A3E" wp14:editId="6B7270C9">
          <wp:simplePos x="0" y="0"/>
          <wp:positionH relativeFrom="page">
            <wp:posOffset>923633</wp:posOffset>
          </wp:positionH>
          <wp:positionV relativeFrom="page">
            <wp:posOffset>454610</wp:posOffset>
          </wp:positionV>
          <wp:extent cx="1797050" cy="809422"/>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1"/>
                  <a:stretch>
                    <a:fillRect/>
                  </a:stretch>
                </pic:blipFill>
                <pic:spPr>
                  <a:xfrm>
                    <a:off x="0" y="0"/>
                    <a:ext cx="1797050" cy="809422"/>
                  </a:xfrm>
                  <a:prstGeom prst="rect">
                    <a:avLst/>
                  </a:prstGeom>
                </pic:spPr>
              </pic:pic>
            </a:graphicData>
          </a:graphic>
        </wp:anchor>
      </w:drawing>
    </w:r>
    <w:r>
      <w:rPr>
        <w:rFonts w:ascii="Arial" w:eastAsia="Arial" w:hAnsi="Arial" w:cs="Arial"/>
        <w:b/>
        <w:sz w:val="20"/>
      </w:rPr>
      <w:t xml:space="preserve">                                                                        Genpact Internal Use Only</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47C9E" w14:textId="77777777" w:rsidR="00276FC5" w:rsidRDefault="00276FC5">
    <w:pPr>
      <w:spacing w:after="0" w:line="259" w:lineRule="auto"/>
      <w:ind w:left="0" w:right="-22" w:firstLine="0"/>
      <w:jc w:val="right"/>
    </w:pPr>
    <w:r>
      <w:rPr>
        <w:noProof/>
        <w:lang w:val="en-US" w:eastAsia="en-US"/>
      </w:rPr>
      <w:drawing>
        <wp:anchor distT="0" distB="0" distL="114300" distR="114300" simplePos="0" relativeHeight="251665408" behindDoc="0" locked="0" layoutInCell="1" allowOverlap="0" wp14:anchorId="205DCBED" wp14:editId="49651525">
          <wp:simplePos x="0" y="0"/>
          <wp:positionH relativeFrom="page">
            <wp:posOffset>923633</wp:posOffset>
          </wp:positionH>
          <wp:positionV relativeFrom="page">
            <wp:posOffset>454610</wp:posOffset>
          </wp:positionV>
          <wp:extent cx="1797050" cy="809422"/>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1"/>
                  <a:stretch>
                    <a:fillRect/>
                  </a:stretch>
                </pic:blipFill>
                <pic:spPr>
                  <a:xfrm>
                    <a:off x="0" y="0"/>
                    <a:ext cx="1797050" cy="809422"/>
                  </a:xfrm>
                  <a:prstGeom prst="rect">
                    <a:avLst/>
                  </a:prstGeom>
                </pic:spPr>
              </pic:pic>
            </a:graphicData>
          </a:graphic>
        </wp:anchor>
      </w:drawing>
    </w:r>
    <w:r>
      <w:rPr>
        <w:rFonts w:ascii="Arial" w:eastAsia="Arial" w:hAnsi="Arial" w:cs="Arial"/>
        <w:b/>
        <w:sz w:val="20"/>
      </w:rPr>
      <w:t xml:space="preserve">                                                                        Genpact Internal Use Only</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D6CFA" w14:textId="77777777" w:rsidR="00276FC5" w:rsidRDefault="00276FC5">
    <w:pPr>
      <w:spacing w:after="0" w:line="259" w:lineRule="auto"/>
      <w:ind w:left="0" w:right="-22" w:firstLine="0"/>
      <w:jc w:val="right"/>
    </w:pPr>
    <w:r>
      <w:rPr>
        <w:noProof/>
        <w:lang w:val="en-US" w:eastAsia="en-US"/>
      </w:rPr>
      <w:drawing>
        <wp:anchor distT="0" distB="0" distL="114300" distR="114300" simplePos="0" relativeHeight="251666432" behindDoc="0" locked="0" layoutInCell="1" allowOverlap="0" wp14:anchorId="0691B734" wp14:editId="1F2E0043">
          <wp:simplePos x="0" y="0"/>
          <wp:positionH relativeFrom="page">
            <wp:posOffset>923633</wp:posOffset>
          </wp:positionH>
          <wp:positionV relativeFrom="page">
            <wp:posOffset>454610</wp:posOffset>
          </wp:positionV>
          <wp:extent cx="1797050" cy="809422"/>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1"/>
                  <a:stretch>
                    <a:fillRect/>
                  </a:stretch>
                </pic:blipFill>
                <pic:spPr>
                  <a:xfrm>
                    <a:off x="0" y="0"/>
                    <a:ext cx="1797050" cy="809422"/>
                  </a:xfrm>
                  <a:prstGeom prst="rect">
                    <a:avLst/>
                  </a:prstGeom>
                </pic:spPr>
              </pic:pic>
            </a:graphicData>
          </a:graphic>
        </wp:anchor>
      </w:drawing>
    </w:r>
    <w:r>
      <w:rPr>
        <w:rFonts w:ascii="Arial" w:eastAsia="Arial" w:hAnsi="Arial" w:cs="Arial"/>
        <w:b/>
        <w:sz w:val="20"/>
      </w:rPr>
      <w:t xml:space="preserve">                                                                        Genpact Internal Use Only</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202EB"/>
    <w:multiLevelType w:val="hybridMultilevel"/>
    <w:tmpl w:val="41C0B1A4"/>
    <w:lvl w:ilvl="0" w:tplc="6C80D574">
      <w:start w:val="1"/>
      <w:numFmt w:val="bullet"/>
      <w:lvlText w:val="-"/>
      <w:lvlJc w:val="left"/>
      <w:pPr>
        <w:ind w:left="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CEA100">
      <w:start w:val="1"/>
      <w:numFmt w:val="bullet"/>
      <w:lvlText w:val="o"/>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28D5EA">
      <w:start w:val="1"/>
      <w:numFmt w:val="bullet"/>
      <w:lvlText w:val="▪"/>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A441A">
      <w:start w:val="1"/>
      <w:numFmt w:val="bullet"/>
      <w:lvlText w:val="•"/>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58996C">
      <w:start w:val="1"/>
      <w:numFmt w:val="bullet"/>
      <w:lvlText w:val="o"/>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5A3AD6">
      <w:start w:val="1"/>
      <w:numFmt w:val="bullet"/>
      <w:lvlText w:val="▪"/>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E43E70">
      <w:start w:val="1"/>
      <w:numFmt w:val="bullet"/>
      <w:lvlText w:val="•"/>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7A8B35E">
      <w:start w:val="1"/>
      <w:numFmt w:val="bullet"/>
      <w:lvlText w:val="o"/>
      <w:lvlJc w:val="left"/>
      <w:pPr>
        <w:ind w:left="5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10994A">
      <w:start w:val="1"/>
      <w:numFmt w:val="bullet"/>
      <w:lvlText w:val="▪"/>
      <w:lvlJc w:val="left"/>
      <w:pPr>
        <w:ind w:left="6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537C07"/>
    <w:multiLevelType w:val="hybridMultilevel"/>
    <w:tmpl w:val="DD92E4CC"/>
    <w:lvl w:ilvl="0" w:tplc="0576BD40">
      <w:start w:val="1"/>
      <w:numFmt w:val="decimal"/>
      <w:lvlText w:val="%1."/>
      <w:lvlJc w:val="left"/>
      <w:pPr>
        <w:ind w:left="2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5A5528">
      <w:start w:val="1"/>
      <w:numFmt w:val="lowerLetter"/>
      <w:lvlText w:val="%2"/>
      <w:lvlJc w:val="left"/>
      <w:pPr>
        <w:ind w:left="10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C8FA28">
      <w:start w:val="1"/>
      <w:numFmt w:val="lowerRoman"/>
      <w:lvlText w:val="%3"/>
      <w:lvlJc w:val="left"/>
      <w:pPr>
        <w:ind w:left="18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504D1D0">
      <w:start w:val="1"/>
      <w:numFmt w:val="decimal"/>
      <w:lvlText w:val="%4"/>
      <w:lvlJc w:val="left"/>
      <w:pPr>
        <w:ind w:left="25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0672C0">
      <w:start w:val="1"/>
      <w:numFmt w:val="lowerLetter"/>
      <w:lvlText w:val="%5"/>
      <w:lvlJc w:val="left"/>
      <w:pPr>
        <w:ind w:left="3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5C9F5C">
      <w:start w:val="1"/>
      <w:numFmt w:val="lowerRoman"/>
      <w:lvlText w:val="%6"/>
      <w:lvlJc w:val="left"/>
      <w:pPr>
        <w:ind w:left="39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DE3956">
      <w:start w:val="1"/>
      <w:numFmt w:val="decimal"/>
      <w:lvlText w:val="%7"/>
      <w:lvlJc w:val="left"/>
      <w:pPr>
        <w:ind w:left="4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CE33A8">
      <w:start w:val="1"/>
      <w:numFmt w:val="lowerLetter"/>
      <w:lvlText w:val="%8"/>
      <w:lvlJc w:val="left"/>
      <w:pPr>
        <w:ind w:left="54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58952E">
      <w:start w:val="1"/>
      <w:numFmt w:val="lowerRoman"/>
      <w:lvlText w:val="%9"/>
      <w:lvlJc w:val="left"/>
      <w:pPr>
        <w:ind w:left="61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2502ED"/>
    <w:multiLevelType w:val="hybridMultilevel"/>
    <w:tmpl w:val="B9488EAC"/>
    <w:lvl w:ilvl="0" w:tplc="E4063B68">
      <w:start w:val="1"/>
      <w:numFmt w:val="bullet"/>
      <w:lvlText w:val="-"/>
      <w:lvlJc w:val="left"/>
      <w:pPr>
        <w:ind w:left="71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8956124E">
      <w:start w:val="1"/>
      <w:numFmt w:val="bullet"/>
      <w:lvlText w:val="o"/>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6B65C90">
      <w:start w:val="1"/>
      <w:numFmt w:val="bullet"/>
      <w:lvlText w:val="▪"/>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31660BE">
      <w:start w:val="1"/>
      <w:numFmt w:val="bullet"/>
      <w:lvlText w:val="•"/>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E2347C1A">
      <w:start w:val="1"/>
      <w:numFmt w:val="bullet"/>
      <w:lvlText w:val="o"/>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FF81214">
      <w:start w:val="1"/>
      <w:numFmt w:val="bullet"/>
      <w:lvlText w:val="▪"/>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0C383380">
      <w:start w:val="1"/>
      <w:numFmt w:val="bullet"/>
      <w:lvlText w:val="•"/>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2E9C65DC">
      <w:start w:val="1"/>
      <w:numFmt w:val="bullet"/>
      <w:lvlText w:val="o"/>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A0EAF5C">
      <w:start w:val="1"/>
      <w:numFmt w:val="bullet"/>
      <w:lvlText w:val="▪"/>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FAF5716"/>
    <w:multiLevelType w:val="hybridMultilevel"/>
    <w:tmpl w:val="4AD42850"/>
    <w:lvl w:ilvl="0" w:tplc="D0EC870E">
      <w:start w:val="1"/>
      <w:numFmt w:val="bullet"/>
      <w:lvlText w:val="-"/>
      <w:lvlJc w:val="left"/>
      <w:pPr>
        <w:ind w:left="719"/>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CC046170">
      <w:start w:val="1"/>
      <w:numFmt w:val="bullet"/>
      <w:lvlText w:val="o"/>
      <w:lvlJc w:val="left"/>
      <w:pPr>
        <w:ind w:left="14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5602684">
      <w:start w:val="1"/>
      <w:numFmt w:val="bullet"/>
      <w:lvlText w:val="▪"/>
      <w:lvlJc w:val="left"/>
      <w:pPr>
        <w:ind w:left="21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A289D38">
      <w:start w:val="1"/>
      <w:numFmt w:val="bullet"/>
      <w:lvlText w:val="•"/>
      <w:lvlJc w:val="left"/>
      <w:pPr>
        <w:ind w:left="28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0D1418B4">
      <w:start w:val="1"/>
      <w:numFmt w:val="bullet"/>
      <w:lvlText w:val="o"/>
      <w:lvlJc w:val="left"/>
      <w:pPr>
        <w:ind w:left="36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C2656AC">
      <w:start w:val="1"/>
      <w:numFmt w:val="bullet"/>
      <w:lvlText w:val="▪"/>
      <w:lvlJc w:val="left"/>
      <w:pPr>
        <w:ind w:left="43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665C66B0">
      <w:start w:val="1"/>
      <w:numFmt w:val="bullet"/>
      <w:lvlText w:val="•"/>
      <w:lvlJc w:val="left"/>
      <w:pPr>
        <w:ind w:left="50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0C020DF8">
      <w:start w:val="1"/>
      <w:numFmt w:val="bullet"/>
      <w:lvlText w:val="o"/>
      <w:lvlJc w:val="left"/>
      <w:pPr>
        <w:ind w:left="57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CE47AC6">
      <w:start w:val="1"/>
      <w:numFmt w:val="bullet"/>
      <w:lvlText w:val="▪"/>
      <w:lvlJc w:val="left"/>
      <w:pPr>
        <w:ind w:left="64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B345A04"/>
    <w:multiLevelType w:val="hybridMultilevel"/>
    <w:tmpl w:val="456A4112"/>
    <w:lvl w:ilvl="0" w:tplc="DF684FBA">
      <w:start w:val="1"/>
      <w:numFmt w:val="bullet"/>
      <w:lvlText w:val="-"/>
      <w:lvlJc w:val="left"/>
      <w:pPr>
        <w:ind w:left="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F6148E">
      <w:start w:val="1"/>
      <w:numFmt w:val="bullet"/>
      <w:lvlText w:val="o"/>
      <w:lvlJc w:val="left"/>
      <w:pPr>
        <w:ind w:left="1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AEC34C">
      <w:start w:val="1"/>
      <w:numFmt w:val="bullet"/>
      <w:lvlText w:val="▪"/>
      <w:lvlJc w:val="left"/>
      <w:pPr>
        <w:ind w:left="2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4E4400">
      <w:start w:val="1"/>
      <w:numFmt w:val="bullet"/>
      <w:lvlText w:val="•"/>
      <w:lvlJc w:val="left"/>
      <w:pPr>
        <w:ind w:left="2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186314">
      <w:start w:val="1"/>
      <w:numFmt w:val="bullet"/>
      <w:lvlText w:val="o"/>
      <w:lvlJc w:val="left"/>
      <w:pPr>
        <w:ind w:left="3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C013BE">
      <w:start w:val="1"/>
      <w:numFmt w:val="bullet"/>
      <w:lvlText w:val="▪"/>
      <w:lvlJc w:val="left"/>
      <w:pPr>
        <w:ind w:left="43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D8298A">
      <w:start w:val="1"/>
      <w:numFmt w:val="bullet"/>
      <w:lvlText w:val="•"/>
      <w:lvlJc w:val="left"/>
      <w:pPr>
        <w:ind w:left="50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B26694">
      <w:start w:val="1"/>
      <w:numFmt w:val="bullet"/>
      <w:lvlText w:val="o"/>
      <w:lvlJc w:val="left"/>
      <w:pPr>
        <w:ind w:left="57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370DB2A">
      <w:start w:val="1"/>
      <w:numFmt w:val="bullet"/>
      <w:lvlText w:val="▪"/>
      <w:lvlJc w:val="left"/>
      <w:pPr>
        <w:ind w:left="6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B63569E"/>
    <w:multiLevelType w:val="hybridMultilevel"/>
    <w:tmpl w:val="416649CA"/>
    <w:lvl w:ilvl="0" w:tplc="455A1C04">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3860E5C">
      <w:start w:val="1"/>
      <w:numFmt w:val="bullet"/>
      <w:lvlText w:val="o"/>
      <w:lvlJc w:val="left"/>
      <w:pPr>
        <w:ind w:left="14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BA083C">
      <w:start w:val="1"/>
      <w:numFmt w:val="bullet"/>
      <w:lvlText w:val="▪"/>
      <w:lvlJc w:val="left"/>
      <w:pPr>
        <w:ind w:left="21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68D0D2">
      <w:start w:val="1"/>
      <w:numFmt w:val="bullet"/>
      <w:lvlText w:val="•"/>
      <w:lvlJc w:val="left"/>
      <w:pPr>
        <w:ind w:left="28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504CD6">
      <w:start w:val="1"/>
      <w:numFmt w:val="bullet"/>
      <w:lvlText w:val="o"/>
      <w:lvlJc w:val="left"/>
      <w:pPr>
        <w:ind w:left="35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9EC9362">
      <w:start w:val="1"/>
      <w:numFmt w:val="bullet"/>
      <w:lvlText w:val="▪"/>
      <w:lvlJc w:val="left"/>
      <w:pPr>
        <w:ind w:left="42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99872D6">
      <w:start w:val="1"/>
      <w:numFmt w:val="bullet"/>
      <w:lvlText w:val="•"/>
      <w:lvlJc w:val="left"/>
      <w:pPr>
        <w:ind w:left="50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7569DD4">
      <w:start w:val="1"/>
      <w:numFmt w:val="bullet"/>
      <w:lvlText w:val="o"/>
      <w:lvlJc w:val="left"/>
      <w:pPr>
        <w:ind w:left="57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F48C08A">
      <w:start w:val="1"/>
      <w:numFmt w:val="bullet"/>
      <w:lvlText w:val="▪"/>
      <w:lvlJc w:val="left"/>
      <w:pPr>
        <w:ind w:left="64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B5B"/>
    <w:rsid w:val="00004728"/>
    <w:rsid w:val="00020A75"/>
    <w:rsid w:val="000720A3"/>
    <w:rsid w:val="0009351F"/>
    <w:rsid w:val="000A1050"/>
    <w:rsid w:val="000A33A1"/>
    <w:rsid w:val="000D468E"/>
    <w:rsid w:val="000F2D6D"/>
    <w:rsid w:val="00103959"/>
    <w:rsid w:val="001767EA"/>
    <w:rsid w:val="0018083C"/>
    <w:rsid w:val="001C4F9A"/>
    <w:rsid w:val="001D2B5B"/>
    <w:rsid w:val="00216965"/>
    <w:rsid w:val="00265523"/>
    <w:rsid w:val="00276FC5"/>
    <w:rsid w:val="00295808"/>
    <w:rsid w:val="002D3943"/>
    <w:rsid w:val="002D4310"/>
    <w:rsid w:val="002F61FC"/>
    <w:rsid w:val="00340FE9"/>
    <w:rsid w:val="00343BD6"/>
    <w:rsid w:val="00361052"/>
    <w:rsid w:val="00364A7A"/>
    <w:rsid w:val="00370BC5"/>
    <w:rsid w:val="004079C6"/>
    <w:rsid w:val="00452C3D"/>
    <w:rsid w:val="004727E2"/>
    <w:rsid w:val="004B317E"/>
    <w:rsid w:val="004D578E"/>
    <w:rsid w:val="004E19AB"/>
    <w:rsid w:val="004F3238"/>
    <w:rsid w:val="005373CC"/>
    <w:rsid w:val="00553178"/>
    <w:rsid w:val="0057466F"/>
    <w:rsid w:val="005C04A8"/>
    <w:rsid w:val="005D3DE9"/>
    <w:rsid w:val="006077E0"/>
    <w:rsid w:val="00656955"/>
    <w:rsid w:val="006813C6"/>
    <w:rsid w:val="0069255D"/>
    <w:rsid w:val="00693986"/>
    <w:rsid w:val="006A235C"/>
    <w:rsid w:val="006B218E"/>
    <w:rsid w:val="00707871"/>
    <w:rsid w:val="007222F4"/>
    <w:rsid w:val="0079019D"/>
    <w:rsid w:val="0080091A"/>
    <w:rsid w:val="00834558"/>
    <w:rsid w:val="00950CDB"/>
    <w:rsid w:val="009536CD"/>
    <w:rsid w:val="0095687E"/>
    <w:rsid w:val="00982B54"/>
    <w:rsid w:val="00991AFB"/>
    <w:rsid w:val="009E0E10"/>
    <w:rsid w:val="00A13728"/>
    <w:rsid w:val="00A579C1"/>
    <w:rsid w:val="00AB5054"/>
    <w:rsid w:val="00AD6C33"/>
    <w:rsid w:val="00B155DD"/>
    <w:rsid w:val="00B20FB2"/>
    <w:rsid w:val="00B237F9"/>
    <w:rsid w:val="00B36DF8"/>
    <w:rsid w:val="00B64510"/>
    <w:rsid w:val="00B678E3"/>
    <w:rsid w:val="00B75EA5"/>
    <w:rsid w:val="00B7667D"/>
    <w:rsid w:val="00B96BB1"/>
    <w:rsid w:val="00BA30C3"/>
    <w:rsid w:val="00BD26AB"/>
    <w:rsid w:val="00C11AA6"/>
    <w:rsid w:val="00C12403"/>
    <w:rsid w:val="00C47AA1"/>
    <w:rsid w:val="00C9378D"/>
    <w:rsid w:val="00D02432"/>
    <w:rsid w:val="00D104BE"/>
    <w:rsid w:val="00D34C97"/>
    <w:rsid w:val="00D73093"/>
    <w:rsid w:val="00D829E4"/>
    <w:rsid w:val="00DB5C9E"/>
    <w:rsid w:val="00DE5678"/>
    <w:rsid w:val="00E07A8C"/>
    <w:rsid w:val="00E338FE"/>
    <w:rsid w:val="00E95EF6"/>
    <w:rsid w:val="00EC5B4C"/>
    <w:rsid w:val="00ED066B"/>
    <w:rsid w:val="00ED6EB1"/>
    <w:rsid w:val="00F210B3"/>
    <w:rsid w:val="00F41B76"/>
    <w:rsid w:val="00F54E38"/>
    <w:rsid w:val="00F64E2C"/>
    <w:rsid w:val="00FA6A42"/>
    <w:rsid w:val="00FC7DB3"/>
    <w:rsid w:val="00FE7511"/>
    <w:rsid w:val="00FF5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0BF1C64"/>
  <w15:docId w15:val="{43E05EF3-692A-4204-B2DE-2F792C6B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65" w:lineRule="auto"/>
      <w:ind w:left="24" w:hanging="10"/>
    </w:pPr>
    <w:rPr>
      <w:rFonts w:ascii="Calibri" w:eastAsia="Calibri" w:hAnsi="Calibri" w:cs="Calibri"/>
      <w:color w:val="000000"/>
      <w:sz w:val="24"/>
    </w:rPr>
  </w:style>
  <w:style w:type="paragraph" w:styleId="Heading1">
    <w:name w:val="heading 1"/>
    <w:next w:val="Normal"/>
    <w:link w:val="Heading1Char"/>
    <w:uiPriority w:val="99"/>
    <w:unhideWhenUsed/>
    <w:qFormat/>
    <w:pPr>
      <w:keepNext/>
      <w:keepLines/>
      <w:spacing w:after="1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uiPriority w:val="9"/>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Light">
    <w:name w:val="Grid Table Light"/>
    <w:basedOn w:val="TableNormal"/>
    <w:uiPriority w:val="40"/>
    <w:rsid w:val="00B766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766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6077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20A75"/>
    <w:pPr>
      <w:tabs>
        <w:tab w:val="center" w:pos="4320"/>
        <w:tab w:val="right" w:pos="8640"/>
      </w:tabs>
      <w:spacing w:after="0" w:line="240" w:lineRule="auto"/>
      <w:ind w:left="0" w:firstLine="0"/>
    </w:pPr>
    <w:rPr>
      <w:rFonts w:ascii="Times New Roman" w:eastAsia="Times New Roman" w:hAnsi="Times New Roman" w:cs="Times New Roman"/>
      <w:color w:val="auto"/>
      <w:sz w:val="20"/>
      <w:szCs w:val="20"/>
      <w:lang w:val="en-US" w:eastAsia="en-US"/>
    </w:rPr>
  </w:style>
  <w:style w:type="character" w:customStyle="1" w:styleId="HeaderChar">
    <w:name w:val="Header Char"/>
    <w:basedOn w:val="DefaultParagraphFont"/>
    <w:link w:val="Header"/>
    <w:uiPriority w:val="99"/>
    <w:rsid w:val="00020A75"/>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rsid w:val="00020A75"/>
    <w:pPr>
      <w:spacing w:after="0" w:line="240" w:lineRule="auto"/>
      <w:ind w:left="0" w:firstLine="0"/>
      <w:jc w:val="center"/>
    </w:pPr>
    <w:rPr>
      <w:rFonts w:ascii="Times New Roman" w:eastAsia="Times New Roman" w:hAnsi="Times New Roman" w:cs="Times New Roman"/>
      <w:color w:val="auto"/>
      <w:szCs w:val="20"/>
      <w:lang w:val="en-US" w:eastAsia="en-US"/>
    </w:rPr>
  </w:style>
  <w:style w:type="character" w:customStyle="1" w:styleId="BodyTextChar">
    <w:name w:val="Body Text Char"/>
    <w:basedOn w:val="DefaultParagraphFont"/>
    <w:link w:val="BodyText"/>
    <w:uiPriority w:val="99"/>
    <w:rsid w:val="00020A75"/>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DB5C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C9E"/>
    <w:rPr>
      <w:rFonts w:ascii="Segoe UI" w:eastAsia="Calibri" w:hAnsi="Segoe UI" w:cs="Segoe UI"/>
      <w:color w:val="000000"/>
      <w:sz w:val="18"/>
      <w:szCs w:val="18"/>
    </w:rPr>
  </w:style>
  <w:style w:type="paragraph" w:customStyle="1" w:styleId="Default">
    <w:name w:val="Default"/>
    <w:rsid w:val="00C1240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06069">
      <w:bodyDiv w:val="1"/>
      <w:marLeft w:val="0"/>
      <w:marRight w:val="0"/>
      <w:marTop w:val="0"/>
      <w:marBottom w:val="0"/>
      <w:divBdr>
        <w:top w:val="none" w:sz="0" w:space="0" w:color="auto"/>
        <w:left w:val="none" w:sz="0" w:space="0" w:color="auto"/>
        <w:bottom w:val="none" w:sz="0" w:space="0" w:color="auto"/>
        <w:right w:val="none" w:sz="0" w:space="0" w:color="auto"/>
      </w:divBdr>
    </w:div>
    <w:div w:id="174350141">
      <w:bodyDiv w:val="1"/>
      <w:marLeft w:val="0"/>
      <w:marRight w:val="0"/>
      <w:marTop w:val="0"/>
      <w:marBottom w:val="0"/>
      <w:divBdr>
        <w:top w:val="none" w:sz="0" w:space="0" w:color="auto"/>
        <w:left w:val="none" w:sz="0" w:space="0" w:color="auto"/>
        <w:bottom w:val="none" w:sz="0" w:space="0" w:color="auto"/>
        <w:right w:val="none" w:sz="0" w:space="0" w:color="auto"/>
      </w:divBdr>
    </w:div>
    <w:div w:id="304941900">
      <w:bodyDiv w:val="1"/>
      <w:marLeft w:val="0"/>
      <w:marRight w:val="0"/>
      <w:marTop w:val="0"/>
      <w:marBottom w:val="0"/>
      <w:divBdr>
        <w:top w:val="none" w:sz="0" w:space="0" w:color="auto"/>
        <w:left w:val="none" w:sz="0" w:space="0" w:color="auto"/>
        <w:bottom w:val="none" w:sz="0" w:space="0" w:color="auto"/>
        <w:right w:val="none" w:sz="0" w:space="0" w:color="auto"/>
      </w:divBdr>
    </w:div>
    <w:div w:id="404760476">
      <w:bodyDiv w:val="1"/>
      <w:marLeft w:val="0"/>
      <w:marRight w:val="0"/>
      <w:marTop w:val="0"/>
      <w:marBottom w:val="0"/>
      <w:divBdr>
        <w:top w:val="none" w:sz="0" w:space="0" w:color="auto"/>
        <w:left w:val="none" w:sz="0" w:space="0" w:color="auto"/>
        <w:bottom w:val="none" w:sz="0" w:space="0" w:color="auto"/>
        <w:right w:val="none" w:sz="0" w:space="0" w:color="auto"/>
      </w:divBdr>
    </w:div>
    <w:div w:id="439371895">
      <w:bodyDiv w:val="1"/>
      <w:marLeft w:val="0"/>
      <w:marRight w:val="0"/>
      <w:marTop w:val="0"/>
      <w:marBottom w:val="0"/>
      <w:divBdr>
        <w:top w:val="none" w:sz="0" w:space="0" w:color="auto"/>
        <w:left w:val="none" w:sz="0" w:space="0" w:color="auto"/>
        <w:bottom w:val="none" w:sz="0" w:space="0" w:color="auto"/>
        <w:right w:val="none" w:sz="0" w:space="0" w:color="auto"/>
      </w:divBdr>
    </w:div>
    <w:div w:id="513493966">
      <w:bodyDiv w:val="1"/>
      <w:marLeft w:val="0"/>
      <w:marRight w:val="0"/>
      <w:marTop w:val="0"/>
      <w:marBottom w:val="0"/>
      <w:divBdr>
        <w:top w:val="none" w:sz="0" w:space="0" w:color="auto"/>
        <w:left w:val="none" w:sz="0" w:space="0" w:color="auto"/>
        <w:bottom w:val="none" w:sz="0" w:space="0" w:color="auto"/>
        <w:right w:val="none" w:sz="0" w:space="0" w:color="auto"/>
      </w:divBdr>
    </w:div>
    <w:div w:id="576983102">
      <w:bodyDiv w:val="1"/>
      <w:marLeft w:val="0"/>
      <w:marRight w:val="0"/>
      <w:marTop w:val="0"/>
      <w:marBottom w:val="0"/>
      <w:divBdr>
        <w:top w:val="none" w:sz="0" w:space="0" w:color="auto"/>
        <w:left w:val="none" w:sz="0" w:space="0" w:color="auto"/>
        <w:bottom w:val="none" w:sz="0" w:space="0" w:color="auto"/>
        <w:right w:val="none" w:sz="0" w:space="0" w:color="auto"/>
      </w:divBdr>
    </w:div>
    <w:div w:id="784813792">
      <w:bodyDiv w:val="1"/>
      <w:marLeft w:val="0"/>
      <w:marRight w:val="0"/>
      <w:marTop w:val="0"/>
      <w:marBottom w:val="0"/>
      <w:divBdr>
        <w:top w:val="none" w:sz="0" w:space="0" w:color="auto"/>
        <w:left w:val="none" w:sz="0" w:space="0" w:color="auto"/>
        <w:bottom w:val="none" w:sz="0" w:space="0" w:color="auto"/>
        <w:right w:val="none" w:sz="0" w:space="0" w:color="auto"/>
      </w:divBdr>
    </w:div>
    <w:div w:id="801003946">
      <w:bodyDiv w:val="1"/>
      <w:marLeft w:val="0"/>
      <w:marRight w:val="0"/>
      <w:marTop w:val="0"/>
      <w:marBottom w:val="0"/>
      <w:divBdr>
        <w:top w:val="none" w:sz="0" w:space="0" w:color="auto"/>
        <w:left w:val="none" w:sz="0" w:space="0" w:color="auto"/>
        <w:bottom w:val="none" w:sz="0" w:space="0" w:color="auto"/>
        <w:right w:val="none" w:sz="0" w:space="0" w:color="auto"/>
      </w:divBdr>
    </w:div>
    <w:div w:id="804857813">
      <w:bodyDiv w:val="1"/>
      <w:marLeft w:val="0"/>
      <w:marRight w:val="0"/>
      <w:marTop w:val="0"/>
      <w:marBottom w:val="0"/>
      <w:divBdr>
        <w:top w:val="none" w:sz="0" w:space="0" w:color="auto"/>
        <w:left w:val="none" w:sz="0" w:space="0" w:color="auto"/>
        <w:bottom w:val="none" w:sz="0" w:space="0" w:color="auto"/>
        <w:right w:val="none" w:sz="0" w:space="0" w:color="auto"/>
      </w:divBdr>
    </w:div>
    <w:div w:id="971246750">
      <w:bodyDiv w:val="1"/>
      <w:marLeft w:val="0"/>
      <w:marRight w:val="0"/>
      <w:marTop w:val="0"/>
      <w:marBottom w:val="0"/>
      <w:divBdr>
        <w:top w:val="none" w:sz="0" w:space="0" w:color="auto"/>
        <w:left w:val="none" w:sz="0" w:space="0" w:color="auto"/>
        <w:bottom w:val="none" w:sz="0" w:space="0" w:color="auto"/>
        <w:right w:val="none" w:sz="0" w:space="0" w:color="auto"/>
      </w:divBdr>
    </w:div>
    <w:div w:id="1098672583">
      <w:bodyDiv w:val="1"/>
      <w:marLeft w:val="0"/>
      <w:marRight w:val="0"/>
      <w:marTop w:val="0"/>
      <w:marBottom w:val="0"/>
      <w:divBdr>
        <w:top w:val="none" w:sz="0" w:space="0" w:color="auto"/>
        <w:left w:val="none" w:sz="0" w:space="0" w:color="auto"/>
        <w:bottom w:val="none" w:sz="0" w:space="0" w:color="auto"/>
        <w:right w:val="none" w:sz="0" w:space="0" w:color="auto"/>
      </w:divBdr>
    </w:div>
    <w:div w:id="1132477300">
      <w:bodyDiv w:val="1"/>
      <w:marLeft w:val="0"/>
      <w:marRight w:val="0"/>
      <w:marTop w:val="0"/>
      <w:marBottom w:val="0"/>
      <w:divBdr>
        <w:top w:val="none" w:sz="0" w:space="0" w:color="auto"/>
        <w:left w:val="none" w:sz="0" w:space="0" w:color="auto"/>
        <w:bottom w:val="none" w:sz="0" w:space="0" w:color="auto"/>
        <w:right w:val="none" w:sz="0" w:space="0" w:color="auto"/>
      </w:divBdr>
    </w:div>
    <w:div w:id="1175608315">
      <w:bodyDiv w:val="1"/>
      <w:marLeft w:val="0"/>
      <w:marRight w:val="0"/>
      <w:marTop w:val="0"/>
      <w:marBottom w:val="0"/>
      <w:divBdr>
        <w:top w:val="none" w:sz="0" w:space="0" w:color="auto"/>
        <w:left w:val="none" w:sz="0" w:space="0" w:color="auto"/>
        <w:bottom w:val="none" w:sz="0" w:space="0" w:color="auto"/>
        <w:right w:val="none" w:sz="0" w:space="0" w:color="auto"/>
      </w:divBdr>
    </w:div>
    <w:div w:id="1394084901">
      <w:bodyDiv w:val="1"/>
      <w:marLeft w:val="0"/>
      <w:marRight w:val="0"/>
      <w:marTop w:val="0"/>
      <w:marBottom w:val="0"/>
      <w:divBdr>
        <w:top w:val="none" w:sz="0" w:space="0" w:color="auto"/>
        <w:left w:val="none" w:sz="0" w:space="0" w:color="auto"/>
        <w:bottom w:val="none" w:sz="0" w:space="0" w:color="auto"/>
        <w:right w:val="none" w:sz="0" w:space="0" w:color="auto"/>
      </w:divBdr>
    </w:div>
    <w:div w:id="1410342596">
      <w:bodyDiv w:val="1"/>
      <w:marLeft w:val="0"/>
      <w:marRight w:val="0"/>
      <w:marTop w:val="0"/>
      <w:marBottom w:val="0"/>
      <w:divBdr>
        <w:top w:val="none" w:sz="0" w:space="0" w:color="auto"/>
        <w:left w:val="none" w:sz="0" w:space="0" w:color="auto"/>
        <w:bottom w:val="none" w:sz="0" w:space="0" w:color="auto"/>
        <w:right w:val="none" w:sz="0" w:space="0" w:color="auto"/>
      </w:divBdr>
    </w:div>
    <w:div w:id="1647007700">
      <w:bodyDiv w:val="1"/>
      <w:marLeft w:val="0"/>
      <w:marRight w:val="0"/>
      <w:marTop w:val="0"/>
      <w:marBottom w:val="0"/>
      <w:divBdr>
        <w:top w:val="none" w:sz="0" w:space="0" w:color="auto"/>
        <w:left w:val="none" w:sz="0" w:space="0" w:color="auto"/>
        <w:bottom w:val="none" w:sz="0" w:space="0" w:color="auto"/>
        <w:right w:val="none" w:sz="0" w:space="0" w:color="auto"/>
      </w:divBdr>
    </w:div>
    <w:div w:id="1722828779">
      <w:bodyDiv w:val="1"/>
      <w:marLeft w:val="0"/>
      <w:marRight w:val="0"/>
      <w:marTop w:val="0"/>
      <w:marBottom w:val="0"/>
      <w:divBdr>
        <w:top w:val="none" w:sz="0" w:space="0" w:color="auto"/>
        <w:left w:val="none" w:sz="0" w:space="0" w:color="auto"/>
        <w:bottom w:val="none" w:sz="0" w:space="0" w:color="auto"/>
        <w:right w:val="none" w:sz="0" w:space="0" w:color="auto"/>
      </w:divBdr>
    </w:div>
    <w:div w:id="1736121589">
      <w:bodyDiv w:val="1"/>
      <w:marLeft w:val="0"/>
      <w:marRight w:val="0"/>
      <w:marTop w:val="0"/>
      <w:marBottom w:val="0"/>
      <w:divBdr>
        <w:top w:val="none" w:sz="0" w:space="0" w:color="auto"/>
        <w:left w:val="none" w:sz="0" w:space="0" w:color="auto"/>
        <w:bottom w:val="none" w:sz="0" w:space="0" w:color="auto"/>
        <w:right w:val="none" w:sz="0" w:space="0" w:color="auto"/>
      </w:divBdr>
    </w:div>
    <w:div w:id="1872916878">
      <w:bodyDiv w:val="1"/>
      <w:marLeft w:val="0"/>
      <w:marRight w:val="0"/>
      <w:marTop w:val="0"/>
      <w:marBottom w:val="0"/>
      <w:divBdr>
        <w:top w:val="none" w:sz="0" w:space="0" w:color="auto"/>
        <w:left w:val="none" w:sz="0" w:space="0" w:color="auto"/>
        <w:bottom w:val="none" w:sz="0" w:space="0" w:color="auto"/>
        <w:right w:val="none" w:sz="0" w:space="0" w:color="auto"/>
      </w:divBdr>
    </w:div>
    <w:div w:id="1961109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1229</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Sarthak</dc:creator>
  <cp:keywords/>
  <cp:lastModifiedBy>Jindal, Sarthak</cp:lastModifiedBy>
  <cp:revision>18</cp:revision>
  <dcterms:created xsi:type="dcterms:W3CDTF">2021-06-22T10:38:00Z</dcterms:created>
  <dcterms:modified xsi:type="dcterms:W3CDTF">2021-10-20T09:18:00Z</dcterms:modified>
</cp:coreProperties>
</file>