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BAC16">
      <w:pPr>
        <w:spacing w:after="60" w:line="360" w:lineRule="auto"/>
        <w:jc w:val="center"/>
      </w:pPr>
      <w:r>
        <w:rPr>
          <w:rFonts w:ascii="Arial" w:hAnsi="Arial" w:eastAsia="Arial" w:cs="Arial"/>
          <w:b/>
          <w:bCs/>
          <w:color w:val="1F4E79"/>
          <w:sz w:val="30"/>
          <w:szCs w:val="30"/>
        </w:rPr>
        <w:t>Sales Forecasting &amp; Demand Intelligence System</w:t>
      </w:r>
    </w:p>
    <w:p w14:paraId="1CCE169C">
      <w:pPr>
        <w:spacing w:after="60" w:line="360" w:lineRule="auto"/>
        <w:jc w:val="center"/>
      </w:pPr>
      <w:r>
        <w:rPr>
          <w:rFonts w:ascii="Arial" w:hAnsi="Arial" w:eastAsia="Arial" w:cs="Arial"/>
          <w:i/>
          <w:iCs/>
          <w:color w:val="888888"/>
          <w:sz w:val="17"/>
          <w:szCs w:val="17"/>
        </w:rPr>
        <w:t>Executive Business Report  |  Shiv Sajob  |  XYlofy AI Internship  |  July 2026</w:t>
      </w:r>
    </w:p>
    <w:p w14:paraId="0D583351">
      <w:pPr>
        <w:pBdr>
          <w:bottom w:val="single" w:color="CCCCCC" w:sz="2" w:space="0"/>
        </w:pBdr>
        <w:spacing w:before="80" w:after="80" w:line="360" w:lineRule="auto"/>
      </w:pPr>
    </w:p>
    <w:p w14:paraId="42334A4F">
      <w:pPr>
        <w:spacing w:before="140" w:after="80" w:line="360" w:lineRule="auto"/>
      </w:pPr>
      <w:r>
        <w:rPr>
          <w:rFonts w:ascii="Arial" w:hAnsi="Arial" w:eastAsia="Arial" w:cs="Arial"/>
          <w:b/>
          <w:bCs/>
          <w:color w:val="1F4E79"/>
          <w:sz w:val="22"/>
          <w:szCs w:val="22"/>
        </w:rPr>
        <w:t>Executive Summary</w:t>
      </w:r>
    </w:p>
    <w:p w14:paraId="3CBE1731">
      <w:pPr>
        <w:spacing w:after="80" w:line="360" w:lineRule="auto"/>
        <w:jc w:val="both"/>
      </w:pPr>
      <w:r>
        <w:rPr>
          <w:rFonts w:ascii="Arial" w:hAnsi="Arial" w:eastAsia="Arial" w:cs="Arial"/>
          <w:sz w:val="17"/>
          <w:szCs w:val="17"/>
        </w:rPr>
        <w:t>We built a system that answers the one question every retail business worries about: how much will we sell next month, and will we have enough stock? Using four years of superstore sales data (9,800 transactions, 2015–2018), we trained three forecasting models, built an anomaly detector that flags unusual sales weeks, and segmented products by demand behaviour — all packaged into a live dashboard a manager can open Monday morning and make stocking decisions from, no Python required.</w:t>
      </w:r>
    </w:p>
    <w:p w14:paraId="6F95CE24">
      <w:pPr>
        <w:pBdr>
          <w:bottom w:val="single" w:color="CCCCCC" w:sz="2" w:space="0"/>
        </w:pBdr>
        <w:spacing w:before="80" w:after="80" w:line="360" w:lineRule="auto"/>
      </w:pPr>
    </w:p>
    <w:p w14:paraId="4F95B734">
      <w:pPr>
        <w:spacing w:before="140" w:after="80" w:line="360" w:lineRule="auto"/>
      </w:pPr>
      <w:r>
        <w:rPr>
          <w:rFonts w:ascii="Arial" w:hAnsi="Arial" w:eastAsia="Arial" w:cs="Arial"/>
          <w:b/>
          <w:bCs/>
          <w:color w:val="1F4E79"/>
          <w:sz w:val="22"/>
          <w:szCs w:val="22"/>
        </w:rPr>
        <w:t>Key Findings</w:t>
      </w:r>
    </w:p>
    <w:p w14:paraId="1AAF4DE3">
      <w:pPr>
        <w:pStyle w:val="16"/>
        <w:numPr>
          <w:ilvl w:val="0"/>
          <w:numId w:val="1"/>
        </w:numPr>
        <w:spacing w:after="60" w:line="360" w:lineRule="auto"/>
      </w:pPr>
      <w:r>
        <w:rPr>
          <w:rFonts w:ascii="Arial" w:hAnsi="Arial" w:eastAsia="Arial" w:cs="Arial"/>
          <w:sz w:val="17"/>
          <w:szCs w:val="17"/>
        </w:rPr>
        <w:t>Technology is the top revenue category at $827,455 (32% of total sales), driven by Phones and Machines.</w:t>
      </w:r>
    </w:p>
    <w:p w14:paraId="2056DE2A">
      <w:pPr>
        <w:pStyle w:val="16"/>
        <w:numPr>
          <w:ilvl w:val="0"/>
          <w:numId w:val="1"/>
        </w:numPr>
        <w:spacing w:after="60" w:line="360" w:lineRule="auto"/>
      </w:pPr>
      <w:r>
        <w:rPr>
          <w:rFonts w:ascii="Arial" w:hAnsi="Arial" w:eastAsia="Arial" w:cs="Arial"/>
          <w:sz w:val="17"/>
          <w:szCs w:val="17"/>
        </w:rPr>
        <w:t>The West region grew 70% over four years ($145,907 in 2015 → $248,130 in 2018)  the strongest and most consistent growth of any region.</w:t>
      </w:r>
    </w:p>
    <w:p w14:paraId="422F0BD0">
      <w:pPr>
        <w:pStyle w:val="16"/>
        <w:numPr>
          <w:ilvl w:val="0"/>
          <w:numId w:val="1"/>
        </w:numPr>
        <w:spacing w:after="60" w:line="360" w:lineRule="auto"/>
      </w:pPr>
      <w:r>
        <w:rPr>
          <w:rFonts w:ascii="Arial" w:hAnsi="Arial" w:eastAsia="Arial" w:cs="Arial"/>
          <w:sz w:val="17"/>
          <w:szCs w:val="17"/>
        </w:rPr>
        <w:t>March, September, and November are the three highest-sales months every year  end</w:t>
      </w:r>
      <w:r>
        <w:rPr>
          <w:rFonts w:hint="default" w:cs="Arial"/>
          <w:sz w:val="17"/>
          <w:szCs w:val="17"/>
          <w:lang w:val="en-US"/>
        </w:rPr>
        <w:t xml:space="preserve"> </w:t>
      </w:r>
      <w:r>
        <w:rPr>
          <w:rFonts w:ascii="Arial" w:hAnsi="Arial" w:eastAsia="Arial" w:cs="Arial"/>
          <w:sz w:val="17"/>
          <w:szCs w:val="17"/>
        </w:rPr>
        <w:t>of</w:t>
      </w:r>
      <w:r>
        <w:rPr>
          <w:rFonts w:hint="default" w:cs="Arial"/>
          <w:sz w:val="17"/>
          <w:szCs w:val="17"/>
          <w:lang w:val="en-US"/>
        </w:rPr>
        <w:t xml:space="preserve"> </w:t>
      </w:r>
      <w:r>
        <w:rPr>
          <w:rFonts w:ascii="Arial" w:hAnsi="Arial" w:eastAsia="Arial" w:cs="Arial"/>
          <w:sz w:val="17"/>
          <w:szCs w:val="17"/>
        </w:rPr>
        <w:t>quarter purchasing and festive season effects showing up clearly.</w:t>
      </w:r>
    </w:p>
    <w:p w14:paraId="4B70790C">
      <w:pPr>
        <w:pStyle w:val="16"/>
        <w:numPr>
          <w:ilvl w:val="0"/>
          <w:numId w:val="1"/>
        </w:numPr>
        <w:spacing w:after="60" w:line="360" w:lineRule="auto"/>
      </w:pPr>
      <w:r>
        <w:rPr>
          <w:rFonts w:ascii="Arial" w:hAnsi="Arial" w:eastAsia="Arial" w:cs="Arial"/>
          <w:sz w:val="17"/>
          <w:szCs w:val="17"/>
        </w:rPr>
        <w:t>January and February are consistently the slowest months across all categories useful for planning stock and staffing in advance.</w:t>
      </w:r>
    </w:p>
    <w:p w14:paraId="4F821540">
      <w:pPr>
        <w:pStyle w:val="16"/>
        <w:numPr>
          <w:ilvl w:val="0"/>
          <w:numId w:val="1"/>
        </w:numPr>
        <w:spacing w:after="60" w:line="360" w:lineRule="auto"/>
      </w:pPr>
      <w:r>
        <w:rPr>
          <w:rFonts w:ascii="Arial" w:hAnsi="Arial" w:eastAsia="Arial" w:cs="Arial"/>
          <w:sz w:val="17"/>
          <w:szCs w:val="17"/>
        </w:rPr>
        <w:t>Average delivery time is 3.9</w:t>
      </w:r>
      <w:r>
        <w:rPr>
          <w:rFonts w:hint="default" w:cs="Arial"/>
          <w:sz w:val="17"/>
          <w:szCs w:val="17"/>
          <w:lang w:val="en-US"/>
        </w:rPr>
        <w:t xml:space="preserve"> </w:t>
      </w:r>
      <w:r>
        <w:rPr>
          <w:rFonts w:ascii="Arial" w:hAnsi="Arial" w:eastAsia="Arial" w:cs="Arial"/>
          <w:sz w:val="17"/>
          <w:szCs w:val="17"/>
        </w:rPr>
        <w:t>–</w:t>
      </w:r>
      <w:r>
        <w:rPr>
          <w:rFonts w:hint="default" w:cs="Arial"/>
          <w:sz w:val="17"/>
          <w:szCs w:val="17"/>
          <w:lang w:val="en-US"/>
        </w:rPr>
        <w:t xml:space="preserve"> </w:t>
      </w:r>
      <w:r>
        <w:rPr>
          <w:rFonts w:ascii="Arial" w:hAnsi="Arial" w:eastAsia="Arial" w:cs="Arial"/>
          <w:sz w:val="17"/>
          <w:szCs w:val="17"/>
        </w:rPr>
        <w:t>4.1 days across all regions with no major gaps  operationally consistent.</w:t>
      </w:r>
    </w:p>
    <w:p w14:paraId="187F3D4A">
      <w:pPr>
        <w:pBdr>
          <w:bottom w:val="single" w:color="CCCCCC" w:sz="2" w:space="0"/>
        </w:pBdr>
        <w:spacing w:before="80" w:after="80" w:line="360" w:lineRule="auto"/>
      </w:pPr>
    </w:p>
    <w:p w14:paraId="4F0BB1CE">
      <w:pPr>
        <w:spacing w:before="140" w:after="80" w:line="360" w:lineRule="auto"/>
      </w:pPr>
      <w:r>
        <w:rPr>
          <w:rFonts w:ascii="Arial" w:hAnsi="Arial" w:eastAsia="Arial" w:cs="Arial"/>
          <w:b/>
          <w:bCs/>
          <w:color w:val="1F4E79"/>
          <w:sz w:val="22"/>
          <w:szCs w:val="22"/>
        </w:rPr>
        <w:t>3-Month Sales Forecast — Model Comparison</w:t>
      </w:r>
    </w:p>
    <w:p w14:paraId="02A23DB1">
      <w:pPr>
        <w:spacing w:after="80" w:line="360" w:lineRule="auto"/>
        <w:jc w:val="both"/>
      </w:pPr>
      <w:r>
        <w:rPr>
          <w:rFonts w:ascii="Arial" w:hAnsi="Arial" w:eastAsia="Arial" w:cs="Arial"/>
          <w:sz w:val="17"/>
          <w:szCs w:val="17"/>
        </w:rPr>
        <w:t>We compared three forecasting approaches on accuracy. Fill in your actual numbers from the notebook:</w:t>
      </w:r>
    </w:p>
    <w:tbl>
      <w:tblPr>
        <w:tblStyle w:val="9"/>
        <w:tblW w:w="0" w:type="auto"/>
        <w:tblInd w:w="-13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05" w:type="dxa"/>
          <w:left w:w="105" w:type="dxa"/>
          <w:bottom w:w="105" w:type="dxa"/>
          <w:right w:w="105" w:type="dxa"/>
        </w:tblCellMar>
      </w:tblPr>
      <w:tblGrid>
        <w:gridCol w:w="960"/>
      </w:tblGrid>
      <w:tr w14:paraId="3522D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trHeight w:val="90" w:hRule="atLeast"/>
        </w:trPr>
        <w:tc>
          <w:tcPr>
            <w:tcW w:w="960" w:type="dxa"/>
            <w:tcBorders>
              <w:top w:val="nil"/>
              <w:left w:val="nil"/>
              <w:bottom w:val="nil"/>
              <w:right w:val="nil"/>
            </w:tcBorders>
            <w:shd w:val="clear" w:color="auto" w:fill="FFFFFF"/>
            <w:tcMar>
              <w:top w:w="105" w:type="dxa"/>
              <w:left w:w="105" w:type="dxa"/>
              <w:bottom w:w="105" w:type="dxa"/>
              <w:right w:w="105" w:type="dxa"/>
            </w:tcMar>
            <w:vAlign w:val="center"/>
          </w:tcPr>
          <w:p w14:paraId="53630C2F">
            <w:pPr>
              <w:keepNext w:val="0"/>
              <w:keepLines w:val="0"/>
              <w:widowControl/>
              <w:suppressLineNumbers w:val="0"/>
              <w:spacing w:line="240" w:lineRule="auto"/>
              <w:jc w:val="both"/>
              <w:textAlignment w:val="center"/>
              <w:rPr>
                <w:rFonts w:ascii="Segoe UI" w:hAnsi="Segoe UI" w:eastAsia="Segoe UI" w:cs="Segoe UI"/>
                <w:i w:val="0"/>
                <w:iCs w:val="0"/>
                <w:caps w:val="0"/>
                <w:spacing w:val="0"/>
                <w:sz w:val="15"/>
                <w:szCs w:val="15"/>
              </w:rPr>
            </w:pPr>
          </w:p>
        </w:tc>
      </w:tr>
    </w:tbl>
    <w:p w14:paraId="64EE9081">
      <w:pPr>
        <w:spacing w:after="80" w:line="360" w:lineRule="auto"/>
      </w:pP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8"/>
        <w:gridCol w:w="1385"/>
        <w:gridCol w:w="1385"/>
        <w:gridCol w:w="1278"/>
        <w:gridCol w:w="1480"/>
        <w:gridCol w:w="1122"/>
        <w:gridCol w:w="1122"/>
      </w:tblGrid>
      <w:tr w14:paraId="1E37A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59315B59">
            <w:pPr>
              <w:spacing w:line="360" w:lineRule="auto"/>
            </w:pPr>
            <w:r>
              <w:rPr>
                <w:b/>
                <w:bCs/>
                <w:color w:val="FFFFFF"/>
                <w:sz w:val="16"/>
                <w:szCs w:val="16"/>
              </w:rPr>
              <w:t>Model</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19F4E7DD">
            <w:pPr>
              <w:spacing w:line="360" w:lineRule="auto"/>
            </w:pPr>
            <w:r>
              <w:rPr>
                <w:b/>
                <w:bCs/>
                <w:color w:val="FFFFFF"/>
                <w:sz w:val="16"/>
                <w:szCs w:val="16"/>
              </w:rPr>
              <w:t>MAE</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14CDE1EE">
            <w:pPr>
              <w:spacing w:line="360" w:lineRule="auto"/>
            </w:pPr>
            <w:r>
              <w:rPr>
                <w:b/>
                <w:bCs/>
                <w:color w:val="FFFFFF"/>
                <w:sz w:val="16"/>
                <w:szCs w:val="16"/>
              </w:rPr>
              <w:t>RMSE</w:t>
            </w:r>
          </w:p>
        </w:tc>
        <w:tc>
          <w:tcPr>
            <w:tcW w:w="13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10B978F5">
            <w:pPr>
              <w:spacing w:line="360" w:lineRule="auto"/>
            </w:pPr>
            <w:r>
              <w:rPr>
                <w:b/>
                <w:bCs/>
                <w:color w:val="FFFFFF"/>
                <w:sz w:val="16"/>
                <w:szCs w:val="16"/>
              </w:rPr>
              <w:t>MAPE</w:t>
            </w:r>
          </w:p>
        </w:tc>
        <w:tc>
          <w:tcPr>
            <w:tcW w:w="1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24AB654B">
            <w:pPr>
              <w:spacing w:line="360" w:lineRule="auto"/>
            </w:pPr>
            <w:r>
              <w:rPr>
                <w:b/>
                <w:bCs/>
                <w:color w:val="FFFFFF"/>
                <w:sz w:val="16"/>
                <w:szCs w:val="16"/>
              </w:rPr>
              <w:t>Month 1 Forecast</w:t>
            </w:r>
          </w:p>
        </w:tc>
        <w:tc>
          <w:tcPr>
            <w:tcW w:w="11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3847D331">
            <w:pPr>
              <w:spacing w:line="360" w:lineRule="auto"/>
            </w:pPr>
            <w:r>
              <w:rPr>
                <w:b/>
                <w:bCs/>
                <w:color w:val="FFFFFF"/>
                <w:sz w:val="16"/>
                <w:szCs w:val="16"/>
              </w:rPr>
              <w:t>Month 2</w:t>
            </w:r>
          </w:p>
        </w:tc>
        <w:tc>
          <w:tcPr>
            <w:tcW w:w="1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7C846C07">
            <w:pPr>
              <w:spacing w:line="360" w:lineRule="auto"/>
            </w:pPr>
            <w:r>
              <w:rPr>
                <w:b/>
                <w:bCs/>
                <w:color w:val="FFFFFF"/>
                <w:sz w:val="16"/>
                <w:szCs w:val="16"/>
              </w:rPr>
              <w:t>Month 3</w:t>
            </w:r>
          </w:p>
        </w:tc>
      </w:tr>
      <w:tr w14:paraId="06001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5FB"/>
            <w:tcMar>
              <w:top w:w="60" w:type="dxa"/>
              <w:left w:w="100" w:type="dxa"/>
              <w:bottom w:w="60" w:type="dxa"/>
              <w:right w:w="100" w:type="dxa"/>
            </w:tcMar>
          </w:tcPr>
          <w:p w14:paraId="791382C9">
            <w:pPr>
              <w:spacing w:line="360" w:lineRule="auto"/>
            </w:pPr>
            <w:r>
              <w:rPr>
                <w:sz w:val="16"/>
                <w:szCs w:val="16"/>
              </w:rPr>
              <w:t>SARIMA</w:t>
            </w:r>
          </w:p>
        </w:tc>
        <w:tc>
          <w:tcPr>
            <w:tcW w:w="1400" w:type="dxa"/>
            <w:tcBorders>
              <w:top w:val="single" w:color="CCCCCC" w:sz="0" w:space="0"/>
              <w:left w:val="single" w:color="CCCCCC" w:sz="0" w:space="0"/>
              <w:bottom w:val="single" w:color="CCCCCC" w:sz="0" w:space="0"/>
              <w:right w:val="single" w:color="CCCCCC" w:sz="0" w:space="0"/>
            </w:tcBorders>
            <w:shd w:val="clear" w:color="auto" w:fill="EBF5FB"/>
            <w:tcMar>
              <w:top w:w="60" w:type="dxa"/>
              <w:left w:w="100" w:type="dxa"/>
              <w:bottom w:w="60" w:type="dxa"/>
              <w:right w:w="100" w:type="dxa"/>
            </w:tcMar>
          </w:tcPr>
          <w:p w14:paraId="138F50CF">
            <w:pPr>
              <w:spacing w:line="360" w:lineRule="auto"/>
              <w:rPr>
                <w:sz w:val="15"/>
                <w:szCs w:val="15"/>
              </w:rPr>
            </w:pPr>
            <w:r>
              <w:rPr>
                <w:rFonts w:ascii="Segoe UI" w:hAnsi="Segoe UI" w:eastAsia="Segoe UI" w:cs="Segoe UI"/>
                <w:i w:val="0"/>
                <w:iCs w:val="0"/>
                <w:caps w:val="0"/>
                <w:spacing w:val="0"/>
                <w:sz w:val="15"/>
                <w:szCs w:val="15"/>
                <w:shd w:val="clear" w:fill="E1F5FE"/>
              </w:rPr>
              <w:t>19244.485345</w:t>
            </w:r>
          </w:p>
        </w:tc>
        <w:tc>
          <w:tcPr>
            <w:tcW w:w="1400" w:type="dxa"/>
            <w:tcBorders>
              <w:top w:val="single" w:color="CCCCCC" w:sz="0" w:space="0"/>
              <w:left w:val="single" w:color="CCCCCC" w:sz="0" w:space="0"/>
              <w:bottom w:val="single" w:color="CCCCCC" w:sz="0" w:space="0"/>
              <w:right w:val="single" w:color="CCCCCC" w:sz="0" w:space="0"/>
            </w:tcBorders>
            <w:shd w:val="clear" w:color="auto" w:fill="EBF5FB"/>
            <w:tcMar>
              <w:top w:w="60" w:type="dxa"/>
              <w:left w:w="100" w:type="dxa"/>
              <w:bottom w:w="60" w:type="dxa"/>
              <w:right w:w="100" w:type="dxa"/>
            </w:tcMar>
          </w:tcPr>
          <w:p w14:paraId="0DA2F177">
            <w:pPr>
              <w:spacing w:line="360" w:lineRule="auto"/>
              <w:rPr>
                <w:sz w:val="15"/>
                <w:szCs w:val="15"/>
              </w:rPr>
            </w:pPr>
            <w:r>
              <w:rPr>
                <w:rFonts w:ascii="Segoe UI" w:hAnsi="Segoe UI" w:eastAsia="Segoe UI" w:cs="Segoe UI"/>
                <w:i w:val="0"/>
                <w:iCs w:val="0"/>
                <w:caps w:val="0"/>
                <w:spacing w:val="0"/>
                <w:sz w:val="15"/>
                <w:szCs w:val="15"/>
                <w:shd w:val="clear" w:fill="E1F5FE"/>
              </w:rPr>
              <w:t>19950.070421</w:t>
            </w:r>
          </w:p>
        </w:tc>
        <w:tc>
          <w:tcPr>
            <w:tcW w:w="1300" w:type="dxa"/>
            <w:tcBorders>
              <w:top w:val="single" w:color="CCCCCC" w:sz="0" w:space="0"/>
              <w:left w:val="single" w:color="CCCCCC" w:sz="0" w:space="0"/>
              <w:bottom w:val="single" w:color="CCCCCC" w:sz="0" w:space="0"/>
              <w:right w:val="single" w:color="CCCCCC" w:sz="0" w:space="0"/>
            </w:tcBorders>
            <w:shd w:val="clear" w:color="auto" w:fill="EBF5FB"/>
            <w:tcMar>
              <w:top w:w="60" w:type="dxa"/>
              <w:left w:w="100" w:type="dxa"/>
              <w:bottom w:w="60" w:type="dxa"/>
              <w:right w:w="100" w:type="dxa"/>
            </w:tcMar>
          </w:tcPr>
          <w:p w14:paraId="3F841C50">
            <w:pPr>
              <w:spacing w:line="360" w:lineRule="auto"/>
              <w:rPr>
                <w:sz w:val="15"/>
                <w:szCs w:val="15"/>
              </w:rPr>
            </w:pPr>
            <w:r>
              <w:rPr>
                <w:rFonts w:ascii="Segoe UI" w:hAnsi="Segoe UI" w:eastAsia="Segoe UI" w:cs="Segoe UI"/>
                <w:i w:val="0"/>
                <w:iCs w:val="0"/>
                <w:caps w:val="0"/>
                <w:spacing w:val="0"/>
                <w:sz w:val="15"/>
                <w:szCs w:val="15"/>
                <w:shd w:val="clear" w:fill="E1F5FE"/>
              </w:rPr>
              <w:t>20.526432</w:t>
            </w:r>
          </w:p>
        </w:tc>
        <w:tc>
          <w:tcPr>
            <w:tcW w:w="1500" w:type="dxa"/>
            <w:tcBorders>
              <w:top w:val="single" w:color="CCCCCC" w:sz="0" w:space="0"/>
              <w:left w:val="single" w:color="CCCCCC" w:sz="0" w:space="0"/>
              <w:bottom w:val="single" w:color="CCCCCC" w:sz="0" w:space="0"/>
              <w:right w:val="single" w:color="CCCCCC" w:sz="0" w:space="0"/>
            </w:tcBorders>
            <w:shd w:val="clear" w:color="auto" w:fill="EBF5FB"/>
            <w:tcMar>
              <w:top w:w="60" w:type="dxa"/>
              <w:left w:w="100" w:type="dxa"/>
              <w:bottom w:w="60" w:type="dxa"/>
              <w:right w:w="100" w:type="dxa"/>
            </w:tcMar>
          </w:tcPr>
          <w:p w14:paraId="124207F5">
            <w:pPr>
              <w:spacing w:line="360" w:lineRule="auto"/>
              <w:rPr>
                <w:sz w:val="15"/>
                <w:szCs w:val="15"/>
              </w:rPr>
            </w:pPr>
            <w:r>
              <w:rPr>
                <w:rFonts w:ascii="Segoe UI" w:hAnsi="Segoe UI" w:eastAsia="Segoe UI" w:cs="Segoe UI"/>
                <w:i w:val="0"/>
                <w:iCs w:val="0"/>
                <w:caps w:val="0"/>
                <w:spacing w:val="0"/>
                <w:sz w:val="15"/>
                <w:szCs w:val="15"/>
                <w:shd w:val="clear" w:fill="E1F5FE"/>
              </w:rPr>
              <w:t>60331.792073</w:t>
            </w:r>
          </w:p>
        </w:tc>
        <w:tc>
          <w:tcPr>
            <w:tcW w:w="1100" w:type="dxa"/>
            <w:tcBorders>
              <w:top w:val="single" w:color="CCCCCC" w:sz="0" w:space="0"/>
              <w:left w:val="single" w:color="CCCCCC" w:sz="0" w:space="0"/>
              <w:bottom w:val="single" w:color="CCCCCC" w:sz="0" w:space="0"/>
              <w:right w:val="single" w:color="CCCCCC" w:sz="0" w:space="0"/>
            </w:tcBorders>
            <w:shd w:val="clear" w:color="auto" w:fill="EBF5FB"/>
            <w:tcMar>
              <w:top w:w="60" w:type="dxa"/>
              <w:left w:w="100" w:type="dxa"/>
              <w:bottom w:w="60" w:type="dxa"/>
              <w:right w:w="100" w:type="dxa"/>
            </w:tcMar>
          </w:tcPr>
          <w:p w14:paraId="0EB416EF">
            <w:pPr>
              <w:spacing w:line="360" w:lineRule="auto"/>
              <w:rPr>
                <w:sz w:val="15"/>
                <w:szCs w:val="15"/>
              </w:rPr>
            </w:pPr>
            <w:r>
              <w:rPr>
                <w:rFonts w:ascii="Segoe UI" w:hAnsi="Segoe UI" w:eastAsia="Segoe UI" w:cs="Segoe UI"/>
                <w:i w:val="0"/>
                <w:iCs w:val="0"/>
                <w:caps w:val="0"/>
                <w:spacing w:val="0"/>
                <w:sz w:val="15"/>
                <w:szCs w:val="15"/>
                <w:shd w:val="clear" w:fill="E1F5FE"/>
              </w:rPr>
              <w:t>91458.220227</w:t>
            </w:r>
          </w:p>
        </w:tc>
        <w:tc>
          <w:tcPr>
            <w:tcW w:w="1000" w:type="dxa"/>
            <w:tcBorders>
              <w:top w:val="single" w:color="CCCCCC" w:sz="0" w:space="0"/>
              <w:left w:val="single" w:color="CCCCCC" w:sz="0" w:space="0"/>
              <w:bottom w:val="single" w:color="CCCCCC" w:sz="0" w:space="0"/>
              <w:right w:val="single" w:color="CCCCCC" w:sz="0" w:space="0"/>
            </w:tcBorders>
            <w:shd w:val="clear" w:color="auto" w:fill="EBF5FB"/>
            <w:tcMar>
              <w:top w:w="60" w:type="dxa"/>
              <w:left w:w="100" w:type="dxa"/>
              <w:bottom w:w="60" w:type="dxa"/>
              <w:right w:w="100" w:type="dxa"/>
            </w:tcMar>
          </w:tcPr>
          <w:p w14:paraId="4EFC540E">
            <w:pPr>
              <w:spacing w:line="360" w:lineRule="auto"/>
              <w:rPr>
                <w:sz w:val="15"/>
                <w:szCs w:val="15"/>
              </w:rPr>
            </w:pPr>
            <w:r>
              <w:rPr>
                <w:rFonts w:ascii="Segoe UI" w:hAnsi="Segoe UI" w:eastAsia="Segoe UI" w:cs="Segoe UI"/>
                <w:i w:val="0"/>
                <w:iCs w:val="0"/>
                <w:caps w:val="0"/>
                <w:spacing w:val="0"/>
                <w:sz w:val="15"/>
                <w:szCs w:val="15"/>
                <w:shd w:val="clear" w:fill="E1F5FE"/>
              </w:rPr>
              <w:t>97167.570936</w:t>
            </w:r>
          </w:p>
        </w:tc>
      </w:tr>
      <w:tr w14:paraId="4F141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587FE68">
            <w:pPr>
              <w:spacing w:line="360" w:lineRule="auto"/>
            </w:pPr>
            <w:r>
              <w:rPr>
                <w:sz w:val="16"/>
                <w:szCs w:val="16"/>
              </w:rPr>
              <w:t>Prophet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B958E50">
            <w:pPr>
              <w:spacing w:line="360" w:lineRule="auto"/>
              <w:rPr>
                <w:sz w:val="15"/>
                <w:szCs w:val="15"/>
              </w:rPr>
            </w:pPr>
            <w:r>
              <w:rPr>
                <w:rFonts w:ascii="Segoe UI" w:hAnsi="Segoe UI" w:eastAsia="Segoe UI" w:cs="Segoe UI"/>
                <w:i w:val="0"/>
                <w:iCs w:val="0"/>
                <w:caps w:val="0"/>
                <w:spacing w:val="0"/>
                <w:sz w:val="15"/>
                <w:szCs w:val="15"/>
                <w:shd w:val="clear" w:fill="E1F5FE"/>
              </w:rPr>
              <w:t>20250.794413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33502CF">
            <w:pPr>
              <w:spacing w:line="360" w:lineRule="auto"/>
              <w:rPr>
                <w:sz w:val="15"/>
                <w:szCs w:val="15"/>
              </w:rPr>
            </w:pPr>
            <w:r>
              <w:rPr>
                <w:rFonts w:ascii="Segoe UI" w:hAnsi="Segoe UI" w:eastAsia="Segoe UI" w:cs="Segoe UI"/>
                <w:i w:val="0"/>
                <w:iCs w:val="0"/>
                <w:caps w:val="0"/>
                <w:spacing w:val="0"/>
                <w:sz w:val="15"/>
                <w:szCs w:val="15"/>
                <w:shd w:val="clear" w:fill="E1F5FE"/>
              </w:rPr>
              <w:t>22318.411333</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2337213">
            <w:pPr>
              <w:spacing w:line="360" w:lineRule="auto"/>
              <w:rPr>
                <w:sz w:val="15"/>
                <w:szCs w:val="15"/>
              </w:rPr>
            </w:pPr>
            <w:r>
              <w:rPr>
                <w:rFonts w:ascii="Segoe UI" w:hAnsi="Segoe UI" w:eastAsia="Segoe UI" w:cs="Segoe UI"/>
                <w:i w:val="0"/>
                <w:iCs w:val="0"/>
                <w:caps w:val="0"/>
                <w:spacing w:val="0"/>
                <w:sz w:val="15"/>
                <w:szCs w:val="15"/>
                <w:shd w:val="clear" w:fill="E1F5FE"/>
              </w:rPr>
              <w:t>21.864628</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045AB24">
            <w:pPr>
              <w:spacing w:line="360" w:lineRule="auto"/>
              <w:rPr>
                <w:sz w:val="15"/>
                <w:szCs w:val="15"/>
              </w:rPr>
            </w:pPr>
            <w:r>
              <w:rPr>
                <w:rFonts w:ascii="Segoe UI" w:hAnsi="Segoe UI" w:eastAsia="Segoe UI" w:cs="Segoe UI"/>
                <w:i w:val="0"/>
                <w:iCs w:val="0"/>
                <w:caps w:val="0"/>
                <w:spacing w:val="0"/>
                <w:sz w:val="15"/>
                <w:szCs w:val="15"/>
                <w:shd w:val="clear" w:fill="E1F5FE"/>
              </w:rPr>
              <w:t>51318.943858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4083818">
            <w:pPr>
              <w:spacing w:line="360" w:lineRule="auto"/>
              <w:rPr>
                <w:sz w:val="15"/>
                <w:szCs w:val="15"/>
              </w:rPr>
            </w:pPr>
            <w:r>
              <w:rPr>
                <w:rFonts w:ascii="Segoe UI" w:hAnsi="Segoe UI" w:eastAsia="Segoe UI" w:cs="Segoe UI"/>
                <w:i w:val="0"/>
                <w:iCs w:val="0"/>
                <w:caps w:val="0"/>
                <w:spacing w:val="0"/>
                <w:sz w:val="15"/>
                <w:szCs w:val="15"/>
                <w:shd w:val="clear" w:fill="E1F5FE"/>
              </w:rPr>
              <w:t>90325.654784</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4E366AC">
            <w:pPr>
              <w:spacing w:line="360" w:lineRule="auto"/>
              <w:rPr>
                <w:sz w:val="15"/>
                <w:szCs w:val="15"/>
              </w:rPr>
            </w:pPr>
            <w:r>
              <w:rPr>
                <w:rFonts w:ascii="Segoe UI" w:hAnsi="Segoe UI" w:eastAsia="Segoe UI" w:cs="Segoe UI"/>
                <w:i w:val="0"/>
                <w:iCs w:val="0"/>
                <w:caps w:val="0"/>
                <w:spacing w:val="0"/>
                <w:sz w:val="15"/>
                <w:szCs w:val="15"/>
                <w:shd w:val="clear" w:fill="E1F5FE"/>
              </w:rPr>
              <w:t>90041.084479</w:t>
            </w:r>
          </w:p>
        </w:tc>
      </w:tr>
      <w:tr w14:paraId="09B68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5FB"/>
            <w:tcMar>
              <w:top w:w="60" w:type="dxa"/>
              <w:left w:w="100" w:type="dxa"/>
              <w:bottom w:w="60" w:type="dxa"/>
              <w:right w:w="100" w:type="dxa"/>
            </w:tcMar>
          </w:tcPr>
          <w:p w14:paraId="03E85642">
            <w:pPr>
              <w:spacing w:line="360" w:lineRule="auto"/>
            </w:pPr>
            <w:r>
              <w:rPr>
                <w:sz w:val="16"/>
                <w:szCs w:val="16"/>
              </w:rPr>
              <w:t>XGBoost</w:t>
            </w:r>
          </w:p>
        </w:tc>
        <w:tc>
          <w:tcPr>
            <w:tcW w:w="1400" w:type="dxa"/>
            <w:tcBorders>
              <w:top w:val="single" w:color="CCCCCC" w:sz="0" w:space="0"/>
              <w:left w:val="single" w:color="CCCCCC" w:sz="0" w:space="0"/>
              <w:bottom w:val="single" w:color="CCCCCC" w:sz="0" w:space="0"/>
              <w:right w:val="single" w:color="CCCCCC" w:sz="0" w:space="0"/>
            </w:tcBorders>
            <w:shd w:val="clear" w:color="auto" w:fill="EBF5FB"/>
            <w:tcMar>
              <w:top w:w="60" w:type="dxa"/>
              <w:left w:w="100" w:type="dxa"/>
              <w:bottom w:w="60" w:type="dxa"/>
              <w:right w:w="100" w:type="dxa"/>
            </w:tcMar>
          </w:tcPr>
          <w:p w14:paraId="241B6C4A">
            <w:pPr>
              <w:spacing w:line="360" w:lineRule="auto"/>
              <w:rPr>
                <w:sz w:val="15"/>
                <w:szCs w:val="15"/>
              </w:rPr>
            </w:pPr>
            <w:r>
              <w:rPr>
                <w:rFonts w:ascii="Segoe UI" w:hAnsi="Segoe UI" w:eastAsia="Segoe UI" w:cs="Segoe UI"/>
                <w:i w:val="0"/>
                <w:iCs w:val="0"/>
                <w:caps w:val="0"/>
                <w:spacing w:val="0"/>
                <w:sz w:val="15"/>
                <w:szCs w:val="15"/>
                <w:shd w:val="clear" w:fill="E1F5FE"/>
              </w:rPr>
              <w:t>26941.370833</w:t>
            </w:r>
          </w:p>
        </w:tc>
        <w:tc>
          <w:tcPr>
            <w:tcW w:w="1400" w:type="dxa"/>
            <w:tcBorders>
              <w:top w:val="single" w:color="CCCCCC" w:sz="0" w:space="0"/>
              <w:left w:val="single" w:color="CCCCCC" w:sz="0" w:space="0"/>
              <w:bottom w:val="single" w:color="CCCCCC" w:sz="0" w:space="0"/>
              <w:right w:val="single" w:color="CCCCCC" w:sz="0" w:space="0"/>
            </w:tcBorders>
            <w:shd w:val="clear" w:color="auto" w:fill="EBF5FB"/>
            <w:tcMar>
              <w:top w:w="60" w:type="dxa"/>
              <w:left w:w="100" w:type="dxa"/>
              <w:bottom w:w="60" w:type="dxa"/>
              <w:right w:w="100" w:type="dxa"/>
            </w:tcMar>
          </w:tcPr>
          <w:p w14:paraId="44250B1C">
            <w:pPr>
              <w:spacing w:line="360" w:lineRule="auto"/>
              <w:rPr>
                <w:sz w:val="15"/>
                <w:szCs w:val="15"/>
              </w:rPr>
            </w:pPr>
            <w:r>
              <w:rPr>
                <w:rFonts w:ascii="Segoe UI" w:hAnsi="Segoe UI" w:eastAsia="Segoe UI" w:cs="Segoe UI"/>
                <w:i w:val="0"/>
                <w:iCs w:val="0"/>
                <w:caps w:val="0"/>
                <w:spacing w:val="0"/>
                <w:sz w:val="15"/>
                <w:szCs w:val="15"/>
                <w:shd w:val="clear" w:fill="E1F5FE"/>
              </w:rPr>
              <w:t>26974.210060</w:t>
            </w:r>
          </w:p>
        </w:tc>
        <w:tc>
          <w:tcPr>
            <w:tcW w:w="1300" w:type="dxa"/>
            <w:tcBorders>
              <w:top w:val="single" w:color="CCCCCC" w:sz="0" w:space="0"/>
              <w:left w:val="single" w:color="CCCCCC" w:sz="0" w:space="0"/>
              <w:bottom w:val="single" w:color="CCCCCC" w:sz="0" w:space="0"/>
              <w:right w:val="single" w:color="CCCCCC" w:sz="0" w:space="0"/>
            </w:tcBorders>
            <w:shd w:val="clear" w:color="auto" w:fill="EBF5FB"/>
            <w:tcMar>
              <w:top w:w="60" w:type="dxa"/>
              <w:left w:w="100" w:type="dxa"/>
              <w:bottom w:w="60" w:type="dxa"/>
              <w:right w:w="100" w:type="dxa"/>
            </w:tcMar>
          </w:tcPr>
          <w:p w14:paraId="1DCC5278">
            <w:pPr>
              <w:spacing w:line="360" w:lineRule="auto"/>
              <w:rPr>
                <w:sz w:val="15"/>
                <w:szCs w:val="15"/>
              </w:rPr>
            </w:pPr>
            <w:r>
              <w:rPr>
                <w:rFonts w:ascii="Segoe UI" w:hAnsi="Segoe UI" w:eastAsia="Segoe UI" w:cs="Segoe UI"/>
                <w:i w:val="0"/>
                <w:iCs w:val="0"/>
                <w:caps w:val="0"/>
                <w:spacing w:val="0"/>
                <w:sz w:val="15"/>
                <w:szCs w:val="15"/>
                <w:shd w:val="clear" w:fill="E1F5FE"/>
              </w:rPr>
              <w:t>29.967034</w:t>
            </w:r>
          </w:p>
        </w:tc>
        <w:tc>
          <w:tcPr>
            <w:tcW w:w="1500" w:type="dxa"/>
            <w:tcBorders>
              <w:top w:val="single" w:color="CCCCCC" w:sz="0" w:space="0"/>
              <w:left w:val="single" w:color="CCCCCC" w:sz="0" w:space="0"/>
              <w:bottom w:val="single" w:color="CCCCCC" w:sz="0" w:space="0"/>
              <w:right w:val="single" w:color="CCCCCC" w:sz="0" w:space="0"/>
            </w:tcBorders>
            <w:shd w:val="clear" w:color="auto" w:fill="EBF5FB"/>
            <w:tcMar>
              <w:top w:w="60" w:type="dxa"/>
              <w:left w:w="100" w:type="dxa"/>
              <w:bottom w:w="60" w:type="dxa"/>
              <w:right w:w="100" w:type="dxa"/>
            </w:tcMar>
          </w:tcPr>
          <w:p w14:paraId="4B87CAC5">
            <w:pPr>
              <w:spacing w:line="360" w:lineRule="auto"/>
              <w:rPr>
                <w:sz w:val="15"/>
                <w:szCs w:val="15"/>
              </w:rPr>
            </w:pPr>
            <w:r>
              <w:rPr>
                <w:rFonts w:ascii="Segoe UI" w:hAnsi="Segoe UI" w:eastAsia="Segoe UI" w:cs="Segoe UI"/>
                <w:i w:val="0"/>
                <w:iCs w:val="0"/>
                <w:caps w:val="0"/>
                <w:spacing w:val="0"/>
                <w:sz w:val="15"/>
                <w:szCs w:val="15"/>
                <w:shd w:val="clear" w:fill="E1F5FE"/>
              </w:rPr>
              <w:t>49399.984375</w:t>
            </w:r>
          </w:p>
        </w:tc>
        <w:tc>
          <w:tcPr>
            <w:tcW w:w="1100" w:type="dxa"/>
            <w:tcBorders>
              <w:top w:val="single" w:color="CCCCCC" w:sz="0" w:space="0"/>
              <w:left w:val="single" w:color="CCCCCC" w:sz="0" w:space="0"/>
              <w:bottom w:val="single" w:color="CCCCCC" w:sz="0" w:space="0"/>
              <w:right w:val="single" w:color="CCCCCC" w:sz="0" w:space="0"/>
            </w:tcBorders>
            <w:shd w:val="clear" w:color="auto" w:fill="EBF5FB"/>
            <w:tcMar>
              <w:top w:w="60" w:type="dxa"/>
              <w:left w:w="100" w:type="dxa"/>
              <w:bottom w:w="60" w:type="dxa"/>
              <w:right w:w="100" w:type="dxa"/>
            </w:tcMar>
          </w:tcPr>
          <w:p w14:paraId="6A422AAC">
            <w:pPr>
              <w:spacing w:line="360" w:lineRule="auto"/>
              <w:rPr>
                <w:sz w:val="15"/>
                <w:szCs w:val="15"/>
              </w:rPr>
            </w:pPr>
            <w:r>
              <w:rPr>
                <w:rFonts w:ascii="Segoe UI" w:hAnsi="Segoe UI" w:eastAsia="Segoe UI" w:cs="Segoe UI"/>
                <w:i w:val="0"/>
                <w:iCs w:val="0"/>
                <w:caps w:val="0"/>
                <w:spacing w:val="0"/>
                <w:sz w:val="15"/>
                <w:szCs w:val="15"/>
                <w:shd w:val="clear" w:fill="E1F5FE"/>
              </w:rPr>
              <w:t>90232.179688</w:t>
            </w:r>
          </w:p>
        </w:tc>
        <w:tc>
          <w:tcPr>
            <w:tcW w:w="1000" w:type="dxa"/>
            <w:tcBorders>
              <w:top w:val="single" w:color="CCCCCC" w:sz="0" w:space="0"/>
              <w:left w:val="single" w:color="CCCCCC" w:sz="0" w:space="0"/>
              <w:bottom w:val="single" w:color="CCCCCC" w:sz="0" w:space="0"/>
              <w:right w:val="single" w:color="CCCCCC" w:sz="0" w:space="0"/>
            </w:tcBorders>
            <w:shd w:val="clear" w:color="auto" w:fill="EBF5FB"/>
            <w:tcMar>
              <w:top w:w="60" w:type="dxa"/>
              <w:left w:w="100" w:type="dxa"/>
              <w:bottom w:w="60" w:type="dxa"/>
              <w:right w:w="100" w:type="dxa"/>
            </w:tcMar>
          </w:tcPr>
          <w:p w14:paraId="64FCDB70">
            <w:pPr>
              <w:spacing w:line="360" w:lineRule="auto"/>
              <w:rPr>
                <w:sz w:val="15"/>
                <w:szCs w:val="15"/>
              </w:rPr>
            </w:pPr>
            <w:r>
              <w:rPr>
                <w:rFonts w:ascii="Segoe UI" w:hAnsi="Segoe UI" w:eastAsia="Segoe UI" w:cs="Segoe UI"/>
                <w:i w:val="0"/>
                <w:iCs w:val="0"/>
                <w:caps w:val="0"/>
                <w:spacing w:val="0"/>
                <w:sz w:val="15"/>
                <w:szCs w:val="15"/>
                <w:shd w:val="clear" w:fill="E1F5FE"/>
              </w:rPr>
              <w:t>57960.398438</w:t>
            </w:r>
          </w:p>
        </w:tc>
      </w:tr>
    </w:tbl>
    <w:p w14:paraId="25BB5AB0">
      <w:pPr>
        <w:spacing w:after="80" w:line="360" w:lineRule="auto"/>
      </w:pPr>
    </w:p>
    <w:p w14:paraId="15F45DEC">
      <w:pPr>
        <w:spacing w:after="80" w:line="360" w:lineRule="auto"/>
        <w:jc w:val="both"/>
      </w:pPr>
      <w:r>
        <w:rPr>
          <w:rFonts w:ascii="Arial" w:hAnsi="Arial" w:eastAsia="Arial" w:cs="Arial"/>
          <w:sz w:val="17"/>
          <w:szCs w:val="17"/>
        </w:rPr>
        <w:t>Replace the dashes above with your actual MAE, RMSE, MAPE, and forecast values from Task 3 in your notebook before submitting.</w:t>
      </w:r>
    </w:p>
    <w:p w14:paraId="470F0BD2">
      <w:pPr>
        <w:pBdr>
          <w:bottom w:val="single" w:color="CCCCCC" w:sz="2" w:space="0"/>
        </w:pBdr>
        <w:spacing w:before="80" w:after="80" w:line="360" w:lineRule="auto"/>
      </w:pPr>
    </w:p>
    <w:p w14:paraId="03DF43DC">
      <w:pPr>
        <w:spacing w:before="140" w:after="80" w:line="360" w:lineRule="auto"/>
      </w:pPr>
      <w:r>
        <w:rPr>
          <w:rFonts w:ascii="Arial" w:hAnsi="Arial" w:eastAsia="Arial" w:cs="Arial"/>
          <w:b/>
          <w:bCs/>
          <w:color w:val="1F4E79"/>
          <w:sz w:val="22"/>
          <w:szCs w:val="22"/>
        </w:rPr>
        <w:t>Top 3 Anomalies Detected</w:t>
      </w:r>
    </w:p>
    <w:p w14:paraId="00DF1F1A">
      <w:pPr>
        <w:pStyle w:val="16"/>
        <w:numPr>
          <w:ilvl w:val="0"/>
          <w:numId w:val="1"/>
        </w:numPr>
        <w:spacing w:after="60" w:line="360" w:lineRule="auto"/>
      </w:pPr>
      <w:r>
        <w:rPr>
          <w:rFonts w:ascii="Arial" w:hAnsi="Arial" w:eastAsia="Arial" w:cs="Arial"/>
          <w:sz w:val="17"/>
          <w:szCs w:val="17"/>
        </w:rPr>
        <w:t>November spikes (multiple years)  Flagged as unusually high by both detection methods every year. Almost certainly festive season and promotional sales. Plan inventory surges 4</w:t>
      </w:r>
      <w:r>
        <w:rPr>
          <w:rFonts w:hint="default" w:cs="Arial"/>
          <w:sz w:val="17"/>
          <w:szCs w:val="17"/>
          <w:lang w:val="en-US"/>
        </w:rPr>
        <w:t xml:space="preserve"> to </w:t>
      </w:r>
      <w:r>
        <w:rPr>
          <w:rFonts w:ascii="Arial" w:hAnsi="Arial" w:eastAsia="Arial" w:cs="Arial"/>
          <w:sz w:val="17"/>
          <w:szCs w:val="17"/>
        </w:rPr>
        <w:t>6 weeks ahead of November.</w:t>
      </w:r>
    </w:p>
    <w:p w14:paraId="2EEC0D71">
      <w:pPr>
        <w:pStyle w:val="16"/>
        <w:numPr>
          <w:ilvl w:val="0"/>
          <w:numId w:val="1"/>
        </w:numPr>
        <w:spacing w:after="60" w:line="360" w:lineRule="auto"/>
      </w:pPr>
      <w:r>
        <w:rPr>
          <w:rFonts w:ascii="Arial" w:hAnsi="Arial" w:eastAsia="Arial" w:cs="Arial"/>
          <w:sz w:val="17"/>
          <w:szCs w:val="17"/>
        </w:rPr>
        <w:t>September end-of-quarter surges Corporate budget spending before Q3 closes shows up clearly, especially in Technology and Office Supplies. Predictable and plannable.</w:t>
      </w:r>
    </w:p>
    <w:p w14:paraId="6CDD408A">
      <w:pPr>
        <w:pStyle w:val="16"/>
        <w:numPr>
          <w:ilvl w:val="0"/>
          <w:numId w:val="1"/>
        </w:numPr>
        <w:spacing w:after="60" w:line="360" w:lineRule="auto"/>
      </w:pPr>
      <w:r>
        <w:rPr>
          <w:rFonts w:ascii="Arial" w:hAnsi="Arial" w:eastAsia="Arial" w:cs="Arial"/>
          <w:sz w:val="17"/>
          <w:szCs w:val="17"/>
        </w:rPr>
        <w:t>January</w:t>
      </w:r>
      <w:r>
        <w:rPr>
          <w:rFonts w:hint="default" w:cs="Arial"/>
          <w:sz w:val="17"/>
          <w:szCs w:val="17"/>
          <w:lang w:val="en-US"/>
        </w:rPr>
        <w:t xml:space="preserve"> to </w:t>
      </w:r>
      <w:r>
        <w:rPr>
          <w:rFonts w:ascii="Arial" w:hAnsi="Arial" w:eastAsia="Arial" w:cs="Arial"/>
          <w:sz w:val="17"/>
          <w:szCs w:val="17"/>
        </w:rPr>
        <w:t>February dips  Sales drop well below the rolling average in the first two months of every year. Post-holiday slowdown. Use this window for clearance and storage cost reduction.</w:t>
      </w:r>
    </w:p>
    <w:p w14:paraId="24943D3F">
      <w:pPr>
        <w:pBdr>
          <w:bottom w:val="single" w:color="CCCCCC" w:sz="2" w:space="0"/>
        </w:pBdr>
        <w:spacing w:before="80" w:after="80" w:line="360" w:lineRule="auto"/>
      </w:pPr>
    </w:p>
    <w:p w14:paraId="2DDA2B85">
      <w:pPr>
        <w:spacing w:before="140" w:after="80" w:line="360" w:lineRule="auto"/>
      </w:pPr>
      <w:r>
        <w:rPr>
          <w:rFonts w:ascii="Arial" w:hAnsi="Arial" w:eastAsia="Arial" w:cs="Arial"/>
          <w:b/>
          <w:bCs/>
          <w:color w:val="1F4E79"/>
          <w:sz w:val="22"/>
          <w:szCs w:val="22"/>
        </w:rPr>
        <w:t>Product Demand Segments &amp; Stocking Strategy</w:t>
      </w:r>
    </w:p>
    <w:p w14:paraId="79F11369">
      <w:pPr>
        <w:spacing w:before="100" w:after="60" w:line="360" w:lineRule="auto"/>
      </w:pPr>
      <w:r>
        <w:rPr>
          <w:rFonts w:ascii="Arial" w:hAnsi="Arial" w:eastAsia="Arial" w:cs="Arial"/>
          <w:b/>
          <w:bCs/>
          <w:color w:val="2E75B6"/>
          <w:sz w:val="19"/>
          <w:szCs w:val="19"/>
        </w:rPr>
        <w:t>High Volume, Stable Demand (Phones, Chairs, Storage)</w:t>
      </w:r>
    </w:p>
    <w:p w14:paraId="162E4432">
      <w:pPr>
        <w:spacing w:after="80" w:line="360" w:lineRule="auto"/>
        <w:jc w:val="both"/>
      </w:pPr>
      <w:r>
        <w:rPr>
          <w:rFonts w:ascii="Arial" w:hAnsi="Arial" w:eastAsia="Arial" w:cs="Arial"/>
          <w:sz w:val="17"/>
          <w:szCs w:val="17"/>
        </w:rPr>
        <w:t>Automate reordering. Maintain steady stock. No need for manual weekly monitoring.</w:t>
      </w:r>
    </w:p>
    <w:p w14:paraId="3DA8ECAA">
      <w:pPr>
        <w:spacing w:before="100" w:after="60" w:line="360" w:lineRule="auto"/>
      </w:pPr>
      <w:r>
        <w:rPr>
          <w:rFonts w:ascii="Arial" w:hAnsi="Arial" w:eastAsia="Arial" w:cs="Arial"/>
          <w:b/>
          <w:bCs/>
          <w:color w:val="2E75B6"/>
          <w:sz w:val="19"/>
          <w:szCs w:val="19"/>
        </w:rPr>
        <w:t>Growing Demand</w:t>
      </w:r>
    </w:p>
    <w:p w14:paraId="6E06AB8A">
      <w:pPr>
        <w:spacing w:after="80" w:line="360" w:lineRule="auto"/>
        <w:jc w:val="both"/>
      </w:pPr>
      <w:r>
        <w:rPr>
          <w:rFonts w:ascii="Arial" w:hAnsi="Arial" w:eastAsia="Arial" w:cs="Arial"/>
          <w:sz w:val="17"/>
          <w:szCs w:val="17"/>
        </w:rPr>
        <w:t>Increase stock ahead of the growth curve. Don't wait until demand peaks to react.</w:t>
      </w:r>
    </w:p>
    <w:p w14:paraId="71B1AAA4">
      <w:pPr>
        <w:spacing w:before="100" w:after="60" w:line="360" w:lineRule="auto"/>
      </w:pPr>
      <w:r>
        <w:rPr>
          <w:rFonts w:ascii="Arial" w:hAnsi="Arial" w:eastAsia="Arial" w:cs="Arial"/>
          <w:b/>
          <w:bCs/>
          <w:color w:val="2E75B6"/>
          <w:sz w:val="19"/>
          <w:szCs w:val="19"/>
        </w:rPr>
        <w:t>Low Volume, High Volatility</w:t>
      </w:r>
    </w:p>
    <w:p w14:paraId="4A788DED">
      <w:pPr>
        <w:spacing w:after="80" w:line="360" w:lineRule="auto"/>
        <w:jc w:val="both"/>
      </w:pPr>
      <w:r>
        <w:rPr>
          <w:rFonts w:ascii="Arial" w:hAnsi="Arial" w:eastAsia="Arial" w:cs="Arial"/>
          <w:sz w:val="17"/>
          <w:szCs w:val="17"/>
        </w:rPr>
        <w:t>Keep base stock low. Monitor weekly. Reorder quickly when demand spikes avoid overstocking between bursts.</w:t>
      </w:r>
    </w:p>
    <w:p w14:paraId="4ABF709E">
      <w:pPr>
        <w:spacing w:before="100" w:after="60" w:line="360" w:lineRule="auto"/>
      </w:pPr>
      <w:r>
        <w:rPr>
          <w:rFonts w:ascii="Arial" w:hAnsi="Arial" w:eastAsia="Arial" w:cs="Arial"/>
          <w:b/>
          <w:bCs/>
          <w:color w:val="2E75B6"/>
          <w:sz w:val="19"/>
          <w:szCs w:val="19"/>
        </w:rPr>
        <w:t>Declining Demand</w:t>
      </w:r>
    </w:p>
    <w:p w14:paraId="125A5ACE">
      <w:pPr>
        <w:spacing w:after="80" w:line="360" w:lineRule="auto"/>
        <w:jc w:val="both"/>
      </w:pPr>
      <w:r>
        <w:rPr>
          <w:rFonts w:ascii="Arial" w:hAnsi="Arial" w:eastAsia="Arial" w:cs="Arial"/>
          <w:sz w:val="17"/>
          <w:szCs w:val="17"/>
        </w:rPr>
        <w:t>Reduce stock gradually. Clear existing inventory through promotions. Avoid fresh bulk orders.</w:t>
      </w:r>
    </w:p>
    <w:p w14:paraId="592ADF97">
      <w:pPr>
        <w:pBdr>
          <w:bottom w:val="single" w:color="CCCCCC" w:sz="2" w:space="0"/>
        </w:pBdr>
        <w:spacing w:before="80" w:after="80" w:line="360" w:lineRule="auto"/>
      </w:pPr>
    </w:p>
    <w:p w14:paraId="6FDE2C1D">
      <w:pPr>
        <w:spacing w:before="140" w:after="80" w:line="360" w:lineRule="auto"/>
      </w:pPr>
      <w:r>
        <w:rPr>
          <w:rFonts w:ascii="Arial" w:hAnsi="Arial" w:eastAsia="Arial" w:cs="Arial"/>
          <w:b/>
          <w:bCs/>
          <w:color w:val="1F4E79"/>
          <w:sz w:val="22"/>
          <w:szCs w:val="22"/>
        </w:rPr>
        <w:t>3 Business Recommendations</w:t>
      </w:r>
    </w:p>
    <w:p w14:paraId="329994A3">
      <w:pPr>
        <w:pStyle w:val="16"/>
        <w:numPr>
          <w:ilvl w:val="0"/>
          <w:numId w:val="1"/>
        </w:numPr>
        <w:spacing w:after="60" w:line="360" w:lineRule="auto"/>
      </w:pPr>
      <w:r>
        <w:rPr>
          <w:rFonts w:ascii="Arial" w:hAnsi="Arial" w:eastAsia="Arial" w:cs="Arial"/>
          <w:sz w:val="17"/>
          <w:szCs w:val="17"/>
        </w:rPr>
        <w:t>Stock up Technology products 4</w:t>
      </w:r>
      <w:r>
        <w:rPr>
          <w:rFonts w:hint="default" w:cs="Arial"/>
          <w:sz w:val="17"/>
          <w:szCs w:val="17"/>
          <w:lang w:val="en-US"/>
        </w:rPr>
        <w:t xml:space="preserve"> to </w:t>
      </w:r>
      <w:r>
        <w:rPr>
          <w:rFonts w:ascii="Arial" w:hAnsi="Arial" w:eastAsia="Arial" w:cs="Arial"/>
          <w:sz w:val="17"/>
          <w:szCs w:val="17"/>
        </w:rPr>
        <w:t>6 weeks before September and November the two biggest sales windows every year, both predictable and consistent across all four years of data.</w:t>
      </w:r>
    </w:p>
    <w:p w14:paraId="7EDC5EB2">
      <w:pPr>
        <w:pStyle w:val="16"/>
        <w:numPr>
          <w:ilvl w:val="0"/>
          <w:numId w:val="1"/>
        </w:numPr>
        <w:spacing w:after="60" w:line="360" w:lineRule="auto"/>
      </w:pPr>
      <w:r>
        <w:rPr>
          <w:rFonts w:ascii="Arial" w:hAnsi="Arial" w:eastAsia="Arial" w:cs="Arial"/>
          <w:sz w:val="17"/>
          <w:szCs w:val="17"/>
        </w:rPr>
        <w:t>Prioritise the West region for expansion investment 70% growth over four years is the strongest signal in the dataset. Any additional distribution or marketing spend here will likely outperform other regions.</w:t>
      </w:r>
    </w:p>
    <w:p w14:paraId="5FAFBE74">
      <w:pPr>
        <w:pStyle w:val="16"/>
        <w:numPr>
          <w:ilvl w:val="0"/>
          <w:numId w:val="1"/>
        </w:numPr>
        <w:spacing w:after="60" w:line="360" w:lineRule="auto"/>
      </w:pPr>
      <w:r>
        <w:rPr>
          <w:rFonts w:ascii="Arial" w:hAnsi="Arial" w:eastAsia="Arial" w:cs="Arial"/>
          <w:sz w:val="17"/>
          <w:szCs w:val="17"/>
        </w:rPr>
        <w:t>Use January and February to clear slow-moving inventory through promotions  sales dip predictably every year during this window, making it the lowest</w:t>
      </w:r>
      <w:r>
        <w:rPr>
          <w:rFonts w:hint="default" w:cs="Arial"/>
          <w:sz w:val="17"/>
          <w:szCs w:val="17"/>
          <w:lang w:val="en-US"/>
        </w:rPr>
        <w:t xml:space="preserve"> </w:t>
      </w:r>
      <w:r>
        <w:rPr>
          <w:rFonts w:ascii="Arial" w:hAnsi="Arial" w:eastAsia="Arial" w:cs="Arial"/>
          <w:sz w:val="17"/>
          <w:szCs w:val="17"/>
        </w:rPr>
        <w:t>cost time to reduce excess stock.</w:t>
      </w:r>
    </w:p>
    <w:p w14:paraId="1E16B24D">
      <w:pPr>
        <w:pBdr>
          <w:bottom w:val="single" w:color="CCCCCC" w:sz="2" w:space="0"/>
        </w:pBdr>
        <w:spacing w:before="80" w:after="80" w:line="360" w:lineRule="auto"/>
      </w:pPr>
    </w:p>
    <w:p w14:paraId="6D82E9A6">
      <w:pPr>
        <w:spacing w:before="140" w:after="80" w:line="360" w:lineRule="auto"/>
      </w:pPr>
      <w:r>
        <w:rPr>
          <w:rFonts w:ascii="Arial" w:hAnsi="Arial" w:eastAsia="Arial" w:cs="Arial"/>
          <w:b/>
          <w:bCs/>
          <w:color w:val="1F4E79"/>
          <w:sz w:val="22"/>
          <w:szCs w:val="22"/>
        </w:rPr>
        <w:t>One Limitation to Be Aware Of</w:t>
      </w:r>
    </w:p>
    <w:p w14:paraId="5FC15ED6">
      <w:pPr>
        <w:spacing w:after="80" w:line="360" w:lineRule="auto"/>
        <w:jc w:val="both"/>
      </w:pPr>
      <w:r>
        <w:rPr>
          <w:rFonts w:ascii="Arial" w:hAnsi="Arial" w:eastAsia="Arial" w:cs="Arial"/>
          <w:sz w:val="17"/>
          <w:szCs w:val="17"/>
        </w:rPr>
        <w:t>This system learns from past patterns  which means it won't predict events it has never seen before. A supply chain disruption, a new competitor, or an economic shock would all fall outside what the model can anticipate. Treat the forecasts as a strong starting point for decisions, not the final word, especially when something unusual is happening in the market.</w:t>
      </w:r>
    </w:p>
    <w:sectPr>
      <w:pgSz w:w="12240" w:h="15840"/>
      <w:pgMar w:top="900" w:right="900" w:bottom="90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60" w:hanging="280"/>
      </w:pPr>
      <w:rPr>
        <w:rFonts w:ascii="Arial" w:hAnsi="Arial" w:eastAsia="Arial" w:cs="Arial"/>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9D16F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17"/>
      <w:szCs w:val="17"/>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17"/>
      <w:szCs w:val="17"/>
    </w:rPr>
  </w:style>
  <w:style w:type="paragraph" w:styleId="6">
    <w:name w:val="heading 5"/>
    <w:next w:val="1"/>
    <w:qFormat/>
    <w:uiPriority w:val="0"/>
    <w:rPr>
      <w:rFonts w:ascii="Arial" w:hAnsi="Arial" w:eastAsia="Arial" w:cs="Arial"/>
      <w:color w:val="2E74B5"/>
      <w:sz w:val="17"/>
      <w:szCs w:val="17"/>
    </w:rPr>
  </w:style>
  <w:style w:type="paragraph" w:styleId="7">
    <w:name w:val="heading 6"/>
    <w:next w:val="1"/>
    <w:qFormat/>
    <w:uiPriority w:val="0"/>
    <w:rPr>
      <w:rFonts w:ascii="Arial" w:hAnsi="Arial" w:eastAsia="Arial" w:cs="Arial"/>
      <w:color w:val="1F4D78"/>
      <w:sz w:val="17"/>
      <w:szCs w:val="17"/>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17"/>
      <w:szCs w:val="17"/>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11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2026-07-13T06:22:00Z</dcterms:created>
  <dc:creator>Un-named</dc:creator>
  <cp:lastModifiedBy>Shiv Sajob</cp:lastModifiedBy>
  <dcterms:modified xsi:type="dcterms:W3CDTF">2026-07-13T06:35:00Z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687B198C113D48DF90F7BF799F68E9B3_12</vt:lpwstr>
  </property>
</Properties>
</file>