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003366"/>
          <w:sz w:val="48"/>
        </w:rPr>
        <w:t>SAP MM Inventory Management Reference Guide</w:t>
      </w:r>
    </w:p>
    <w:p>
      <w:pPr>
        <w:spacing w:before="240" w:after="120"/>
      </w:pPr>
      <w:r>
        <w:rPr>
          <w:rFonts w:ascii="Calibri" w:hAnsi="Calibri"/>
          <w:b/>
          <w:color w:val="003366"/>
          <w:sz w:val="32"/>
        </w:rPr>
        <w:t>1. Introduction to Inventory Management in SAP MM</w:t>
      </w:r>
    </w:p>
    <w:p>
      <w:r>
        <w:t>Inventory Management within the SAP Materials Management (MM-IM) module forms the back-office engine of an enterprise's physical logistics network. It serves as the bridge between strategic procurement execution and warehouse fulfillment, regulating the systematic recording of material quantity and value changes across localized storage networks. Effective inventory management establishes immediate material availability for manufacturing and client delivery while enforcing financial record parity across downstream ledgers.</w:t>
      </w:r>
    </w:p>
    <w:p>
      <w:r>
        <w:rPr>
          <w:b/>
        </w:rPr>
        <w:t>Core Strategic Benefits of SAP MM Inventory Management:</w:t>
      </w:r>
    </w:p>
    <w:p>
      <w:pPr>
        <w:pStyle w:val="ListBullet"/>
        <w:spacing w:after="60"/>
      </w:pPr>
      <w:r>
        <w:rPr>
          <w:b/>
        </w:rPr>
        <w:t xml:space="preserve">Real-Time Quantity and Value Visibility: </w:t>
      </w:r>
      <w:r>
        <w:t>Maintains perpetual updates of stock quantities and valuations across plants, facilitating precise financial control and balance-sheet integrity.</w:t>
      </w:r>
    </w:p>
    <w:p>
      <w:pPr>
        <w:pStyle w:val="ListBullet"/>
        <w:spacing w:after="60"/>
      </w:pPr>
      <w:r>
        <w:rPr>
          <w:b/>
        </w:rPr>
        <w:t xml:space="preserve">Procurement and Production Alignment: </w:t>
      </w:r>
      <w:r>
        <w:t>Acts as a direct feed into Materials Requirements Planning (MRP), preventing stockouts, material bottlenecks, or capital tie-ups from over-purchasing.</w:t>
      </w:r>
    </w:p>
    <w:p>
      <w:pPr>
        <w:pStyle w:val="ListBullet"/>
        <w:spacing w:after="60"/>
      </w:pPr>
      <w:r>
        <w:rPr>
          <w:b/>
        </w:rPr>
        <w:t xml:space="preserve">Regulatory Traceability &amp; Audit Compliance: </w:t>
      </w:r>
      <w:r>
        <w:t>Enforces strict system tracking for every material touchpoint via unique transaction-bound material documents, satisfying international audit standards.</w:t>
      </w:r>
    </w:p>
    <w:p>
      <w:pPr>
        <w:pStyle w:val="ListBullet"/>
        <w:spacing w:after="240"/>
      </w:pPr>
      <w:r>
        <w:rPr>
          <w:b/>
        </w:rPr>
        <w:t xml:space="preserve">Fulfillment and Operational Efficiency: </w:t>
      </w:r>
      <w:r>
        <w:t>Standardizes transfer and staging dynamics, accelerating internal turn-around cycles and external shipment distributions.</w:t>
      </w:r>
    </w:p>
    <w:p>
      <w:pPr>
        <w:spacing w:before="240" w:after="120"/>
      </w:pPr>
      <w:r>
        <w:rPr>
          <w:rFonts w:ascii="Calibri" w:hAnsi="Calibri"/>
          <w:b/>
          <w:color w:val="003366"/>
          <w:sz w:val="32"/>
        </w:rPr>
        <w:t>2. Steps in the Inventory Management Process</w:t>
      </w:r>
    </w:p>
    <w:p>
      <w:r>
        <w:t>The inventory process landscape is driven by single-screen architecture (primarily Transaction Code MIGO) paired with explicit Movement Types. A movement type is a three-digit classification key that dictates the technical fields, account modifications, and stock buckets affected by a physical transaction.</w:t>
      </w:r>
    </w:p>
    <w:p>
      <w:pPr>
        <w:spacing w:before="120" w:after="80"/>
      </w:pPr>
      <w:r>
        <w:rPr>
          <w:b/>
          <w:color w:val="708090"/>
          <w:sz w:val="26"/>
        </w:rPr>
        <w:t>A. Goods Receipt (GR) Execution</w:t>
      </w:r>
    </w:p>
    <w:p>
      <w:r>
        <w:t>A Goods Receipt documents the physical intake of materials from external vendors or internal production pools into plant inventory.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0" w:after="0" w:line="276" w:lineRule="auto"/>
            </w:pPr>
            <w:r>
              <w:rPr>
                <w:rFonts w:ascii="Calibri" w:hAnsi="Calibri"/>
                <w:i/>
                <w:color w:val="333333"/>
                <w:sz w:val="21"/>
              </w:rPr>
              <w:t>Key T-Code: MIGO | Primary Movement Type: 101 (Receipt for Purchase Order to Unrestricted Stock)</w:t>
            </w:r>
          </w:p>
        </w:tc>
      </w:tr>
    </w:tbl>
    <w:p>
      <w:pPr>
        <w:spacing w:after="120"/>
      </w:pPr>
    </w:p>
    <w:p>
      <w:r>
        <w:rPr>
          <w:b/>
        </w:rPr>
        <w:t>Step-by-Step Functional Workflow:</w:t>
      </w:r>
    </w:p>
    <w:p>
      <w:pPr>
        <w:spacing w:after="60"/>
        <w:ind w:left="360"/>
      </w:pPr>
      <w:r>
        <w:rPr>
          <w:b/>
        </w:rPr>
        <w:t xml:space="preserve">1. </w:t>
      </w:r>
      <w:r>
        <w:t>Navigate to transaction code MIGO via the SAP command field.</w:t>
      </w:r>
    </w:p>
    <w:p>
      <w:pPr>
        <w:spacing w:after="60"/>
        <w:ind w:left="360"/>
      </w:pPr>
      <w:r>
        <w:rPr>
          <w:b/>
        </w:rPr>
        <w:t xml:space="preserve">2. </w:t>
      </w:r>
      <w:r>
        <w:t>Select 'Goods Receipt' from the first action dropdown, and 'Purchase Order' from the reference document dropdown.</w:t>
      </w:r>
    </w:p>
    <w:p>
      <w:pPr>
        <w:spacing w:after="60"/>
        <w:ind w:left="360"/>
      </w:pPr>
      <w:r>
        <w:rPr>
          <w:b/>
        </w:rPr>
        <w:t xml:space="preserve">3. </w:t>
      </w:r>
      <w:r>
        <w:t>Input the target Purchase Order number in the adjacent field and hit Enter to pull line item data.</w:t>
      </w:r>
    </w:p>
    <w:p>
      <w:pPr>
        <w:spacing w:after="60"/>
        <w:ind w:left="360"/>
      </w:pPr>
      <w:r>
        <w:rPr>
          <w:b/>
        </w:rPr>
        <w:t xml:space="preserve">4. </w:t>
      </w:r>
      <w:r>
        <w:t>Review the default data in the 'Material', 'Quantity', and 'Where' tabs (verify Plant and Storage Location mappings).</w:t>
      </w:r>
    </w:p>
    <w:p>
      <w:pPr>
        <w:spacing w:after="60"/>
        <w:ind w:left="360"/>
      </w:pPr>
      <w:r>
        <w:rPr>
          <w:b/>
        </w:rPr>
        <w:t xml:space="preserve">5. </w:t>
      </w:r>
      <w:r>
        <w:t>Mark the 'Item OK' checkbox at the lower margin of the item detail screen for each validated line item.</w:t>
      </w:r>
    </w:p>
    <w:p>
      <w:pPr>
        <w:spacing w:after="60"/>
        <w:ind w:left="360"/>
      </w:pPr>
      <w:r>
        <w:rPr>
          <w:b/>
        </w:rPr>
        <w:t xml:space="preserve">6. </w:t>
      </w:r>
      <w:r>
        <w:t>Click the 'Check' button on the upper menu bar to trigger standard system validations (e.g., posting period clearances, over-delivery tolerances).</w:t>
      </w:r>
    </w:p>
    <w:p>
      <w:pPr>
        <w:spacing w:after="240"/>
        <w:ind w:left="360"/>
      </w:pPr>
      <w:r>
        <w:rPr>
          <w:b/>
        </w:rPr>
        <w:t xml:space="preserve">7. </w:t>
      </w:r>
      <w:r>
        <w:t>Click 'Post' to commit the transaction. The system generates a Material Document (quantities) and an Accounting Document (financial values).</w:t>
      </w:r>
    </w:p>
    <w:p>
      <w:pPr>
        <w:spacing w:before="120" w:after="80"/>
      </w:pPr>
      <w:r>
        <w:rPr>
          <w:b/>
          <w:color w:val="708090"/>
          <w:sz w:val="26"/>
        </w:rPr>
        <w:t>B. Goods Issue (GI) Execution</w:t>
      </w:r>
    </w:p>
    <w:p>
      <w:r>
        <w:t>A Goods Issue records the physical reduction of warehouse inventory for consumption, sample testing, internal cost centers, or outbound sales fulfillment.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0" w:after="0" w:line="276" w:lineRule="auto"/>
            </w:pPr>
            <w:r>
              <w:rPr>
                <w:rFonts w:ascii="Calibri" w:hAnsi="Calibri"/>
                <w:i/>
                <w:color w:val="333333"/>
                <w:sz w:val="21"/>
              </w:rPr>
              <w:t>Key T-Code: MIGO | Primary Movement Types: 201 (Issue to Cost Center), 261 (Issue to Production Order)</w:t>
            </w:r>
          </w:p>
        </w:tc>
      </w:tr>
    </w:tbl>
    <w:p>
      <w:pPr>
        <w:spacing w:after="120"/>
      </w:pPr>
    </w:p>
    <w:p>
      <w:r>
        <w:rPr>
          <w:b/>
        </w:rPr>
        <w:t>Step-by-Step Functional Workflow:</w:t>
      </w:r>
    </w:p>
    <w:p>
      <w:pPr>
        <w:spacing w:after="60"/>
        <w:ind w:left="360"/>
      </w:pPr>
      <w:r>
        <w:rPr>
          <w:b/>
        </w:rPr>
        <w:t xml:space="preserve">1. </w:t>
      </w:r>
      <w:r>
        <w:t>Execute transaction code MIGO in the command bar.</w:t>
      </w:r>
    </w:p>
    <w:p>
      <w:pPr>
        <w:spacing w:after="60"/>
        <w:ind w:left="360"/>
      </w:pPr>
      <w:r>
        <w:rPr>
          <w:b/>
        </w:rPr>
        <w:t xml:space="preserve">2. </w:t>
      </w:r>
      <w:r>
        <w:t>Select 'Goods Issue' from the primary action dropdown, followed by the appropriate reference document type (e.g., 'Other' or 'Order').</w:t>
      </w:r>
    </w:p>
    <w:p>
      <w:pPr>
        <w:spacing w:after="60"/>
        <w:ind w:left="360"/>
      </w:pPr>
      <w:r>
        <w:rPr>
          <w:b/>
        </w:rPr>
        <w:t xml:space="preserve">3. </w:t>
      </w:r>
      <w:r>
        <w:t>On the 'Material' tab, input the unique Material Number; on the 'Quantity' tab, declare the volume being extracted.</w:t>
      </w:r>
    </w:p>
    <w:p>
      <w:pPr>
        <w:spacing w:after="60"/>
        <w:ind w:left="360"/>
      </w:pPr>
      <w:r>
        <w:rPr>
          <w:b/>
        </w:rPr>
        <w:t xml:space="preserve">4. </w:t>
      </w:r>
      <w:r>
        <w:t>Under the 'Where' tab, define the source Plant and specific Storage Location from which stock is being drawn.</w:t>
      </w:r>
    </w:p>
    <w:p>
      <w:pPr>
        <w:spacing w:after="60"/>
        <w:ind w:left="360"/>
      </w:pPr>
      <w:r>
        <w:rPr>
          <w:b/>
        </w:rPr>
        <w:t xml:space="preserve">5. </w:t>
      </w:r>
      <w:r>
        <w:t>Enter the mandatory account allocation data: input the receiving Cost Center for movement 201 or the target Production Order for movement 261.</w:t>
      </w:r>
    </w:p>
    <w:p>
      <w:pPr>
        <w:spacing w:after="60"/>
        <w:ind w:left="360"/>
      </w:pPr>
      <w:r>
        <w:rPr>
          <w:b/>
        </w:rPr>
        <w:t xml:space="preserve">6. </w:t>
      </w:r>
      <w:r>
        <w:t>Toggle the 'Item OK' flag to signify item readiness.</w:t>
      </w:r>
    </w:p>
    <w:p>
      <w:pPr>
        <w:spacing w:after="60"/>
        <w:ind w:left="360"/>
      </w:pPr>
      <w:r>
        <w:rPr>
          <w:b/>
        </w:rPr>
        <w:t xml:space="preserve">7. </w:t>
      </w:r>
      <w:r>
        <w:t>Execute the 'Check' function to confirm that the source stock bucket has sufficient quantities to cover the issue.</w:t>
      </w:r>
    </w:p>
    <w:p>
      <w:pPr>
        <w:spacing w:after="240"/>
        <w:ind w:left="360"/>
      </w:pPr>
      <w:r>
        <w:rPr>
          <w:b/>
        </w:rPr>
        <w:t xml:space="preserve">8. </w:t>
      </w:r>
      <w:r>
        <w:t>Click 'Post' to finalize the issue. The system reduces local stock levels and debits the designated cost account while crediting inventory.</w:t>
      </w:r>
    </w:p>
    <w:p>
      <w:pPr>
        <w:spacing w:before="120" w:after="80"/>
      </w:pPr>
      <w:r>
        <w:rPr>
          <w:b/>
          <w:color w:val="708090"/>
          <w:sz w:val="26"/>
        </w:rPr>
        <w:t>C. Stock Transfers and Transfer Postings</w:t>
      </w:r>
    </w:p>
    <w:p>
      <w:r>
        <w:t>Stock movements can occur as physical transfers (Stock Transfers) or logical modifications of status (Transfer Postings). These processes route materials between different storage locations, distinct plants, or distinct stock status categories.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0" w:after="0" w:line="276" w:lineRule="auto"/>
            </w:pPr>
            <w:r>
              <w:rPr>
                <w:rFonts w:ascii="Calibri" w:hAnsi="Calibri"/>
                <w:i/>
                <w:color w:val="333333"/>
                <w:sz w:val="21"/>
              </w:rPr>
              <w:t>Key T-Codes: MIGO, MB1B (Legacy) | Primary Movement Types: 301 (Plant to Plant, 1-Step), 311 (Storage Location to Storage Location, 1-Step), 321 (Quality Inspection to Unrestricted Stock)</w:t>
            </w:r>
          </w:p>
        </w:tc>
      </w:tr>
    </w:tbl>
    <w:p>
      <w:pPr>
        <w:spacing w:after="120"/>
      </w:pPr>
    </w:p>
    <w:p>
      <w:r>
        <w:rPr>
          <w:b/>
        </w:rPr>
        <w:t>Step-by-Step Functional Workflow (Storage Location Transfer via MIGO):</w:t>
      </w:r>
    </w:p>
    <w:p>
      <w:pPr>
        <w:spacing w:after="60"/>
        <w:ind w:left="360"/>
      </w:pPr>
      <w:r>
        <w:rPr>
          <w:b/>
        </w:rPr>
        <w:t xml:space="preserve">1. </w:t>
      </w:r>
      <w:r>
        <w:t>Access transaction code MIGO.</w:t>
      </w:r>
    </w:p>
    <w:p>
      <w:pPr>
        <w:spacing w:after="60"/>
        <w:ind w:left="360"/>
      </w:pPr>
      <w:r>
        <w:rPr>
          <w:b/>
        </w:rPr>
        <w:t xml:space="preserve">2. </w:t>
      </w:r>
      <w:r>
        <w:t>Select 'Transfer Posting' and 'Other' from the master transaction action fields.</w:t>
      </w:r>
    </w:p>
    <w:p>
      <w:pPr>
        <w:spacing w:after="60"/>
        <w:ind w:left="360"/>
      </w:pPr>
      <w:r>
        <w:rPr>
          <w:b/>
        </w:rPr>
        <w:t xml:space="preserve">3. </w:t>
      </w:r>
      <w:r>
        <w:t>Enter the precise movement type matching your business case (e.g., movement 311 for a single-step storage location migration).</w:t>
      </w:r>
    </w:p>
    <w:p>
      <w:pPr>
        <w:spacing w:after="60"/>
        <w:ind w:left="360"/>
      </w:pPr>
      <w:r>
        <w:rPr>
          <w:b/>
        </w:rPr>
        <w:t xml:space="preserve">4. </w:t>
      </w:r>
      <w:r>
        <w:t>In the 'Material' and 'Quantity' fields, declare the product and volume to be moved.</w:t>
      </w:r>
    </w:p>
    <w:p>
      <w:pPr>
        <w:spacing w:after="60"/>
        <w:ind w:left="360"/>
      </w:pPr>
      <w:r>
        <w:rPr>
          <w:b/>
        </w:rPr>
        <w:t xml:space="preserve">5. </w:t>
      </w:r>
      <w:r>
        <w:t>In the 'Where' tab, input the originating (From) Plant and Storage Location alongside the destination (To) Storage Location details.</w:t>
      </w:r>
    </w:p>
    <w:p>
      <w:pPr>
        <w:spacing w:after="60"/>
        <w:ind w:left="360"/>
      </w:pPr>
      <w:r>
        <w:rPr>
          <w:b/>
        </w:rPr>
        <w:t xml:space="preserve">6. </w:t>
      </w:r>
      <w:r>
        <w:t>Check the 'Item OK' checkbox to authorize the line item data.</w:t>
      </w:r>
    </w:p>
    <w:p>
      <w:pPr>
        <w:spacing w:after="60"/>
        <w:ind w:left="360"/>
      </w:pPr>
      <w:r>
        <w:rPr>
          <w:b/>
        </w:rPr>
        <w:t xml:space="preserve">7. </w:t>
      </w:r>
      <w:r>
        <w:t>Click the 'Check' validation tool to verify adequate stock balances in the originating node.</w:t>
      </w:r>
    </w:p>
    <w:p>
      <w:pPr>
        <w:spacing w:after="240"/>
        <w:ind w:left="360"/>
      </w:pPr>
      <w:r>
        <w:rPr>
          <w:b/>
        </w:rPr>
        <w:t xml:space="preserve">8. </w:t>
      </w:r>
      <w:r>
        <w:t>Click 'Post'. This issues a material document updating the locations immediately without altering financial accounting balances (if transferring within the same plant).</w:t>
      </w:r>
    </w:p>
    <w:p>
      <w:pPr>
        <w:spacing w:before="240" w:after="120"/>
      </w:pPr>
      <w:r>
        <w:rPr>
          <w:rFonts w:ascii="Calibri" w:hAnsi="Calibri"/>
          <w:b/>
          <w:color w:val="003366"/>
          <w:sz w:val="32"/>
        </w:rPr>
        <w:t>3. Conclusion: Inventory Challenges and Resolution Framework</w:t>
      </w:r>
    </w:p>
    <w:p>
      <w:r>
        <w:t>Managing inventory levels inside an enterprise comes with daily friction points. Discrepancies between physical inventory counts and system balances can disrupt automated scheduling tools and compromise financial statements. To address these vulnerabilities, organizations can deploy specialized standard SAP resolution workflows.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003366"/>
            <w:tcMar>
              <w:top w:w="120" w:type="dxa"/>
              <w:bottom w:w="120" w:type="dxa"/>
              <w:left w:w="120" w:type="dxa"/>
              <w:right w:w="120" w:type="dxa"/>
            </w:tcMar>
          </w:tcPr>
          <w:p>
            <w:pPr>
              <w:jc w:val="left"/>
            </w:pPr>
            <w:r>
              <w:rPr>
                <w:rFonts w:ascii="Calibri" w:hAnsi="Calibri"/>
                <w:b/>
                <w:color w:val="FFFFFF"/>
                <w:sz w:val="21"/>
              </w:rPr>
              <w:t>Identified Inventory Challenge</w:t>
            </w:r>
          </w:p>
        </w:tc>
        <w:tc>
          <w:tcPr>
            <w:tcW w:type="dxa" w:w="2880"/>
            <w:shd w:fill="003366"/>
            <w:tcMar>
              <w:top w:w="120" w:type="dxa"/>
              <w:bottom w:w="120" w:type="dxa"/>
              <w:left w:w="120" w:type="dxa"/>
              <w:right w:w="120" w:type="dxa"/>
            </w:tcMar>
          </w:tcPr>
          <w:p>
            <w:pPr>
              <w:jc w:val="left"/>
            </w:pPr>
            <w:r>
              <w:rPr>
                <w:rFonts w:ascii="Calibri" w:hAnsi="Calibri"/>
                <w:b/>
                <w:color w:val="FFFFFF"/>
                <w:sz w:val="21"/>
              </w:rPr>
              <w:t>Systemic Impact</w:t>
            </w:r>
          </w:p>
        </w:tc>
        <w:tc>
          <w:tcPr>
            <w:tcW w:type="dxa" w:w="3312"/>
            <w:shd w:fill="003366"/>
            <w:tcMar>
              <w:top w:w="120" w:type="dxa"/>
              <w:bottom w:w="120" w:type="dxa"/>
              <w:left w:w="120" w:type="dxa"/>
              <w:right w:w="120" w:type="dxa"/>
            </w:tcMar>
          </w:tcPr>
          <w:p>
            <w:pPr>
              <w:jc w:val="left"/>
            </w:pPr>
            <w:r>
              <w:rPr>
                <w:rFonts w:ascii="Calibri" w:hAnsi="Calibri"/>
                <w:b/>
                <w:color w:val="FFFFFF"/>
                <w:sz w:val="21"/>
              </w:rPr>
              <w:t>SAP Target Technical Solution</w:t>
            </w:r>
          </w:p>
        </w:tc>
      </w:tr>
      <w:tr>
        <w:tc>
          <w:tcPr>
            <w:tcW w:type="dxa" w:w="3168"/>
            <w:shd w:fill="FFFFFF"/>
            <w:tcMar>
              <w:top w:w="100" w:type="dxa"/>
              <w:bottom w:w="100" w:type="dxa"/>
              <w:left w:w="120" w:type="dxa"/>
              <w:right w:w="120" w:type="dxa"/>
            </w:tcMar>
          </w:tcPr>
          <w:p>
            <w:pPr>
              <w:jc w:val="left"/>
            </w:pPr>
            <w:r>
              <w:rPr>
                <w:rFonts w:ascii="Calibri" w:hAnsi="Calibri"/>
                <w:sz w:val="20"/>
              </w:rPr>
              <w:t>Physical vs. System Stock Deviations</w:t>
            </w:r>
          </w:p>
        </w:tc>
        <w:tc>
          <w:tcPr>
            <w:tcW w:type="dxa" w:w="2880"/>
            <w:shd w:fill="FFFFFF"/>
            <w:tcMar>
              <w:top w:w="100" w:type="dxa"/>
              <w:bottom w:w="100" w:type="dxa"/>
              <w:left w:w="120" w:type="dxa"/>
              <w:right w:w="120" w:type="dxa"/>
            </w:tcMar>
          </w:tcPr>
          <w:p>
            <w:pPr>
              <w:jc w:val="left"/>
            </w:pPr>
            <w:r>
              <w:rPr>
                <w:rFonts w:ascii="Calibri" w:hAnsi="Calibri"/>
                <w:sz w:val="20"/>
              </w:rPr>
              <w:t>Leads to artificial stockouts, unplanned downtime, or bloated working capital due to safety-stock inflation.</w:t>
            </w:r>
          </w:p>
        </w:tc>
        <w:tc>
          <w:tcPr>
            <w:tcW w:type="dxa" w:w="3312"/>
            <w:shd w:fill="FFFFFF"/>
            <w:tcMar>
              <w:top w:w="100" w:type="dxa"/>
              <w:bottom w:w="100" w:type="dxa"/>
              <w:left w:w="120" w:type="dxa"/>
              <w:right w:w="120" w:type="dxa"/>
            </w:tcMar>
          </w:tcPr>
          <w:p>
            <w:pPr>
              <w:jc w:val="left"/>
            </w:pPr>
            <w:r>
              <w:rPr>
                <w:rFonts w:ascii="Calibri" w:hAnsi="Calibri"/>
                <w:sz w:val="20"/>
              </w:rPr>
              <w:t>Deploy Physical Inventory Cycle Counting workflows. Use MI01 (Create Count Doc), MI04 (Enter Count), and MI07 (Post Variances) to recalibrate books dynamically.</w:t>
            </w:r>
          </w:p>
        </w:tc>
      </w:tr>
      <w:tr>
        <w:tc>
          <w:tcPr>
            <w:tcW w:type="dxa" w:w="3168"/>
            <w:shd w:fill="F9FBFD"/>
            <w:tcMar>
              <w:top w:w="100" w:type="dxa"/>
              <w:bottom w:w="100" w:type="dxa"/>
              <w:left w:w="120" w:type="dxa"/>
              <w:right w:w="120" w:type="dxa"/>
            </w:tcMar>
          </w:tcPr>
          <w:p>
            <w:pPr>
              <w:jc w:val="left"/>
            </w:pPr>
            <w:r>
              <w:rPr>
                <w:rFonts w:ascii="Calibri" w:hAnsi="Calibri"/>
                <w:sz w:val="20"/>
              </w:rPr>
              <w:t>Negative Stock Quantities in Storage</w:t>
            </w:r>
          </w:p>
        </w:tc>
        <w:tc>
          <w:tcPr>
            <w:tcW w:type="dxa" w:w="2880"/>
            <w:shd w:fill="F9FBFD"/>
            <w:tcMar>
              <w:top w:w="100" w:type="dxa"/>
              <w:bottom w:w="100" w:type="dxa"/>
              <w:left w:w="120" w:type="dxa"/>
              <w:right w:w="120" w:type="dxa"/>
            </w:tcMar>
          </w:tcPr>
          <w:p>
            <w:pPr>
              <w:jc w:val="left"/>
            </w:pPr>
            <w:r>
              <w:rPr>
                <w:rFonts w:ascii="Calibri" w:hAnsi="Calibri"/>
                <w:sz w:val="20"/>
              </w:rPr>
              <w:t>Causes systemic inconsistencies where issues occur before receipts are entered, fouling up stock evaluation logic.</w:t>
            </w:r>
          </w:p>
        </w:tc>
        <w:tc>
          <w:tcPr>
            <w:tcW w:type="dxa" w:w="3312"/>
            <w:shd w:fill="F9FBFD"/>
            <w:tcMar>
              <w:top w:w="100" w:type="dxa"/>
              <w:bottom w:w="100" w:type="dxa"/>
              <w:left w:w="120" w:type="dxa"/>
              <w:right w:w="120" w:type="dxa"/>
            </w:tcMar>
          </w:tcPr>
          <w:p>
            <w:pPr>
              <w:jc w:val="left"/>
            </w:pPr>
            <w:r>
              <w:rPr>
                <w:rFonts w:ascii="Calibri" w:hAnsi="Calibri"/>
                <w:sz w:val="20"/>
              </w:rPr>
              <w:t>Restrict Negative Stock allowances in custom configuration settings (OMJ1) by specific Plant and Storage Location boundaries.</w:t>
            </w:r>
          </w:p>
        </w:tc>
      </w:tr>
      <w:tr>
        <w:tc>
          <w:tcPr>
            <w:tcW w:type="dxa" w:w="3168"/>
            <w:shd w:fill="FFFFFF"/>
            <w:tcMar>
              <w:top w:w="100" w:type="dxa"/>
              <w:bottom w:w="100" w:type="dxa"/>
              <w:left w:w="120" w:type="dxa"/>
              <w:right w:w="120" w:type="dxa"/>
            </w:tcMar>
          </w:tcPr>
          <w:p>
            <w:pPr>
              <w:jc w:val="left"/>
            </w:pPr>
            <w:r>
              <w:rPr>
                <w:rFonts w:ascii="Calibri" w:hAnsi="Calibri"/>
                <w:sz w:val="20"/>
              </w:rPr>
              <w:t>Stagnant and Obsolete Material Build-up</w:t>
            </w:r>
          </w:p>
        </w:tc>
        <w:tc>
          <w:tcPr>
            <w:tcW w:type="dxa" w:w="2880"/>
            <w:shd w:fill="FFFFFF"/>
            <w:tcMar>
              <w:top w:w="100" w:type="dxa"/>
              <w:bottom w:w="100" w:type="dxa"/>
              <w:left w:w="120" w:type="dxa"/>
              <w:right w:w="120" w:type="dxa"/>
            </w:tcMar>
          </w:tcPr>
          <w:p>
            <w:pPr>
              <w:jc w:val="left"/>
            </w:pPr>
            <w:r>
              <w:rPr>
                <w:rFonts w:ascii="Calibri" w:hAnsi="Calibri"/>
                <w:sz w:val="20"/>
              </w:rPr>
              <w:t>Ties up valuable warehouse footprint and capital while risking write-offs on expiring items.</w:t>
            </w:r>
          </w:p>
        </w:tc>
        <w:tc>
          <w:tcPr>
            <w:tcW w:type="dxa" w:w="3312"/>
            <w:shd w:fill="FFFFFF"/>
            <w:tcMar>
              <w:top w:w="100" w:type="dxa"/>
              <w:bottom w:w="100" w:type="dxa"/>
              <w:left w:w="120" w:type="dxa"/>
              <w:right w:w="120" w:type="dxa"/>
            </w:tcMar>
          </w:tcPr>
          <w:p>
            <w:pPr>
              <w:jc w:val="left"/>
            </w:pPr>
            <w:r>
              <w:rPr>
                <w:rFonts w:ascii="Calibri" w:hAnsi="Calibri"/>
                <w:sz w:val="20"/>
              </w:rPr>
              <w:t>Run standard SAP inventory aging and slow-mover analysis reporting via transaction codes MC.A and MC.B to identify dead capital early.</w:t>
            </w:r>
          </w:p>
        </w:tc>
      </w:tr>
      <w:tr>
        <w:tc>
          <w:tcPr>
            <w:tcW w:type="dxa" w:w="3168"/>
            <w:shd w:fill="F9FBFD"/>
            <w:tcMar>
              <w:top w:w="100" w:type="dxa"/>
              <w:bottom w:w="100" w:type="dxa"/>
              <w:left w:w="120" w:type="dxa"/>
              <w:right w:w="120" w:type="dxa"/>
            </w:tcMar>
          </w:tcPr>
          <w:p>
            <w:pPr>
              <w:jc w:val="left"/>
            </w:pPr>
            <w:r>
              <w:rPr>
                <w:rFonts w:ascii="Calibri" w:hAnsi="Calibri"/>
                <w:sz w:val="20"/>
              </w:rPr>
              <w:t>Lax Document Control or Mis-classified Issues</w:t>
            </w:r>
          </w:p>
        </w:tc>
        <w:tc>
          <w:tcPr>
            <w:tcW w:type="dxa" w:w="2880"/>
            <w:shd w:fill="F9FBFD"/>
            <w:tcMar>
              <w:top w:w="100" w:type="dxa"/>
              <w:bottom w:w="100" w:type="dxa"/>
              <w:left w:w="120" w:type="dxa"/>
              <w:right w:w="120" w:type="dxa"/>
            </w:tcMar>
          </w:tcPr>
          <w:p>
            <w:pPr>
              <w:jc w:val="left"/>
            </w:pPr>
            <w:r>
              <w:rPr>
                <w:rFonts w:ascii="Calibri" w:hAnsi="Calibri"/>
                <w:sz w:val="20"/>
              </w:rPr>
              <w:t>Obscures historical logs, leading to misallocated expenses across corporate cost centers.</w:t>
            </w:r>
          </w:p>
        </w:tc>
        <w:tc>
          <w:tcPr>
            <w:tcW w:type="dxa" w:w="3312"/>
            <w:shd w:fill="F9FBFD"/>
            <w:tcMar>
              <w:top w:w="100" w:type="dxa"/>
              <w:bottom w:w="100" w:type="dxa"/>
              <w:left w:w="120" w:type="dxa"/>
              <w:right w:w="120" w:type="dxa"/>
            </w:tcMar>
          </w:tcPr>
          <w:p>
            <w:pPr>
              <w:jc w:val="left"/>
            </w:pPr>
            <w:r>
              <w:rPr>
                <w:rFonts w:ascii="Calibri" w:hAnsi="Calibri"/>
                <w:sz w:val="20"/>
              </w:rPr>
              <w:t>Enforce mandatory reason codes for specific movement types in configuration (OMJJ), restricting user input to predefined criteria.</w:t>
            </w:r>
          </w:p>
        </w:tc>
      </w:tr>
    </w:tbl>
    <w:p>
      <w:pPr>
        <w:spacing w:before="240"/>
      </w:pPr>
    </w:p>
    <w:p>
      <w:r>
        <w:t>By standardizing movement workflows, restricting unauthorized transactional entries, and utilizing cyclical physical validation routines, organizations can convert their warehouse data into a highly reliable and secure operational asset.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