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Calibri" w:hAnsi="Calibri"/>
          <w:b/>
          <w:color w:val="003366"/>
          <w:sz w:val="48"/>
        </w:rPr>
        <w:t>SAP MM Basics and Master Data Creation Guide</w:t>
      </w:r>
    </w:p>
    <w:p>
      <w:pPr>
        <w:spacing w:after="480"/>
        <w:jc w:val="center"/>
      </w:pPr>
      <w:r>
        <w:rPr>
          <w:color w:val="4682B4"/>
        </w:rPr>
        <w:t>――――――――――――――――――――――――――――――――――――――――――――――――――</w:t>
      </w:r>
    </w:p>
    <w:p>
      <w:pPr>
        <w:keepNext/>
        <w:spacing w:before="360" w:after="120"/>
      </w:pPr>
      <w:r>
        <w:rPr>
          <w:rFonts w:ascii="Calibri" w:hAnsi="Calibri"/>
          <w:b/>
          <w:color w:val="003366"/>
          <w:sz w:val="32"/>
        </w:rPr>
        <w:t>1. Introduction to SAP MM</w:t>
      </w:r>
    </w:p>
    <w:p>
      <w:pPr>
        <w:spacing w:after="120" w:line="276" w:lineRule="auto"/>
      </w:pPr>
      <w:r>
        <w:t>The SAP Materials Management (MM) module is a core component of the SAP ERP Central Component (ECC) and SAP S/4HANA systems. It plays a pivotal role in an organization's supply chain by managing procurement operations and inventory management functionalities. SAP MM ensures that materials are always available in appropriate quantities without causing stockouts or excess inventory gluts.</w:t>
      </w:r>
    </w:p>
    <w:p>
      <w:pPr>
        <w:spacing w:after="120" w:line="276" w:lineRule="auto"/>
      </w:pPr>
      <w:r>
        <w:t>Key areas managed by SAP MM include purchasing processes, goods receiving, inventory management, invoice verification, and materials planning. By streamlining these supply chain operations, organizations experience increased operational efficiency, reduced inventory carrying costs, minimized procurement cycle times, and complete transparency within the procurement lifecycle.</w:t>
      </w:r>
    </w:p>
    <w:p>
      <w:pPr>
        <w:keepNext/>
        <w:spacing w:before="360" w:after="120"/>
      </w:pPr>
      <w:r>
        <w:rPr>
          <w:rFonts w:ascii="Calibri" w:hAnsi="Calibri"/>
          <w:b/>
          <w:color w:val="003366"/>
          <w:sz w:val="32"/>
        </w:rPr>
        <w:t>2. Master Data in SAP MM</w:t>
      </w:r>
    </w:p>
    <w:p>
      <w:pPr>
        <w:spacing w:after="120" w:line="276" w:lineRule="auto"/>
      </w:pPr>
      <w:r>
        <w:t>Master Data serves as the foundational, core dataset within SAP MM that remains stable over long periods. Unlike transactional data, which records daily business events (such as purchase orders or invoices), master data is created centrally and reused across multiple business processes.</w:t>
      </w:r>
    </w:p>
    <w:p>
      <w:pPr>
        <w:spacing w:after="120" w:line="276" w:lineRule="auto"/>
      </w:pPr>
      <w:r>
        <w:t>In SAP MM, the primary master data objects include:</w:t>
      </w:r>
    </w:p>
    <w:p>
      <w:pPr>
        <w:pStyle w:val="ListBullet"/>
        <w:spacing w:after="60" w:line="276" w:lineRule="auto"/>
      </w:pPr>
      <w:r>
        <w:rPr>
          <w:b/>
        </w:rPr>
        <w:t xml:space="preserve">Material Master: </w:t>
      </w:r>
      <w:r>
        <w:t xml:space="preserve"> Stores comprehensive information about all materials that an enterprise procures, produces, stores, or sells. It acts as the central repository for material attributes like dimensions, weight, purchasing unit, and valuation class.</w:t>
      </w:r>
    </w:p>
    <w:p>
      <w:pPr>
        <w:pStyle w:val="ListBullet"/>
        <w:spacing w:after="60" w:line="276" w:lineRule="auto"/>
      </w:pPr>
      <w:r>
        <w:rPr>
          <w:b/>
        </w:rPr>
        <w:t xml:space="preserve">Vendor Master / Business Partner: </w:t>
      </w:r>
      <w:r>
        <w:t xml:space="preserve"> In SAP S/4HANA, this is integrated under the Business Partner (BP) concept. It maintains crucial data regarding external suppliers, including payment terms, currencies, schema groups, and control data.</w:t>
      </w:r>
    </w:p>
    <w:p>
      <w:pPr>
        <w:pStyle w:val="ListBullet"/>
        <w:spacing w:after="60" w:line="276" w:lineRule="auto"/>
      </w:pPr>
      <w:r>
        <w:rPr>
          <w:b/>
        </w:rPr>
        <w:t xml:space="preserve">Purchase Info Record (PIR): </w:t>
      </w:r>
      <w:r>
        <w:t xml:space="preserve"> Establishes a direct link between a material and a vendor. It defines specific terms such as current pricing, delivery tolerances, tax codes, and planned delivery times.</w:t>
      </w:r>
    </w:p>
    <w:p>
      <w:pPr>
        <w:pStyle w:val="ListBullet"/>
        <w:spacing w:after="60" w:line="276" w:lineRule="auto"/>
      </w:pPr>
      <w:r>
        <w:rPr>
          <w:b/>
        </w:rPr>
        <w:t xml:space="preserve">Source List: </w:t>
      </w:r>
      <w:r>
        <w:t xml:space="preserve"> Used to manage and assign preferred sources of supply for specific materials within a plant over defined periods. It helps automate source determination during purchase requisitions.</w:t>
      </w:r>
    </w:p>
    <w:p>
      <w:pPr>
        <w:keepNext/>
        <w:spacing w:before="360" w:after="120"/>
      </w:pPr>
      <w:r>
        <w:rPr>
          <w:rFonts w:ascii="Calibri" w:hAnsi="Calibri"/>
          <w:b/>
          <w:color w:val="003366"/>
          <w:sz w:val="32"/>
        </w:rPr>
        <w:t>3. Steps to Create Master Data</w:t>
      </w:r>
    </w:p>
    <w:p>
      <w:pPr>
        <w:keepNext/>
        <w:spacing w:before="240" w:after="80"/>
      </w:pPr>
      <w:r>
        <w:rPr>
          <w:rFonts w:ascii="Calibri" w:hAnsi="Calibri"/>
          <w:b/>
          <w:color w:val="4682B4"/>
          <w:sz w:val="26"/>
        </w:rPr>
        <w:t>3.1 Creating the Material Master</w:t>
      </w:r>
    </w:p>
    <w:p>
      <w:pPr>
        <w:pStyle w:val="ListBullet"/>
        <w:spacing w:after="60" w:line="276" w:lineRule="auto"/>
      </w:pPr>
      <w:r>
        <w:rPr>
          <w:b/>
        </w:rPr>
        <w:t xml:space="preserve">Transaction Code: </w:t>
      </w:r>
      <w:r>
        <w:t xml:space="preserve"> MM01 (Create), MM02 (Change), MM03 (Display).</w:t>
      </w:r>
    </w:p>
    <w:p>
      <w:pPr>
        <w:pStyle w:val="ListBullet"/>
        <w:spacing w:after="60" w:line="276" w:lineRule="auto"/>
      </w:pPr>
      <w:r>
        <w:rPr>
          <w:b/>
        </w:rPr>
        <w:t xml:space="preserve">Step 1: </w:t>
      </w:r>
      <w:r>
        <w:t xml:space="preserve"> Enter the Material ID (if external), Industry Sector (e.g., Mechanical Engineering), and Material Type (e.g., ROH for Raw Materials, HALB for Semi-finished, FERT for Finished Goods).</w:t>
      </w:r>
    </w:p>
    <w:p>
      <w:pPr>
        <w:pStyle w:val="ListBullet"/>
        <w:spacing w:after="60" w:line="276" w:lineRule="auto"/>
      </w:pPr>
      <w:r>
        <w:rPr>
          <w:b/>
        </w:rPr>
        <w:t xml:space="preserve">Step 2: </w:t>
      </w:r>
      <w:r>
        <w:t xml:space="preserve"> Select relevant views depending on the material type. Standard views typically include Basic Data 1 &amp; 2, Purchasing, Plant Data / Storage 1 &amp; 2, and Accounting 1 &amp; 2.</w:t>
      </w:r>
    </w:p>
    <w:p>
      <w:pPr>
        <w:pStyle w:val="ListBullet"/>
        <w:spacing w:after="60" w:line="276" w:lineRule="auto"/>
      </w:pPr>
      <w:r>
        <w:rPr>
          <w:b/>
        </w:rPr>
        <w:t xml:space="preserve">Step 3: </w:t>
      </w:r>
      <w:r>
        <w:t xml:space="preserve"> Define Organizational Levels by entering the specific Plant and Storage Location IDs.</w:t>
      </w:r>
    </w:p>
    <w:p>
      <w:pPr>
        <w:pStyle w:val="ListBullet"/>
        <w:spacing w:after="60" w:line="276" w:lineRule="auto"/>
      </w:pPr>
      <w:r>
        <w:rPr>
          <w:b/>
        </w:rPr>
        <w:t xml:space="preserve">Step 4: </w:t>
      </w:r>
      <w:r>
        <w:t xml:space="preserve"> Fill in mandatory attributes such as Base Unit of Measure, Material Group, Purchasing Group, Valuation Class, and Standard/Moving Price.</w:t>
      </w:r>
    </w:p>
    <w:p>
      <w:pPr>
        <w:pStyle w:val="ListBullet"/>
        <w:spacing w:after="60" w:line="276" w:lineRule="auto"/>
      </w:pPr>
      <w:r>
        <w:rPr>
          <w:b/>
        </w:rPr>
        <w:t xml:space="preserve">Step 5: </w:t>
      </w:r>
      <w:r>
        <w:t xml:space="preserve"> Save the configuration to generate the Material Master record.</w:t>
      </w:r>
    </w:p>
    <w:p>
      <w:pPr>
        <w:keepNext/>
        <w:spacing w:before="240" w:after="80"/>
      </w:pPr>
      <w:r>
        <w:rPr>
          <w:rFonts w:ascii="Calibri" w:hAnsi="Calibri"/>
          <w:b/>
          <w:color w:val="4682B4"/>
          <w:sz w:val="26"/>
        </w:rPr>
        <w:t>3.2 Creating the Vendor Master (Business Partner)</w:t>
      </w:r>
    </w:p>
    <w:p>
      <w:pPr>
        <w:pStyle w:val="ListBullet"/>
        <w:spacing w:after="60" w:line="276" w:lineRule="auto"/>
      </w:pPr>
      <w:r>
        <w:rPr>
          <w:b/>
        </w:rPr>
        <w:t xml:space="preserve">Transaction Code: </w:t>
      </w:r>
      <w:r>
        <w:t xml:space="preserve"> BP (in SAP S/4HANA) or XK01 (Legacy ERP).</w:t>
      </w:r>
    </w:p>
    <w:p>
      <w:pPr>
        <w:pStyle w:val="ListBullet"/>
        <w:spacing w:after="60" w:line="276" w:lineRule="auto"/>
      </w:pPr>
      <w:r>
        <w:rPr>
          <w:b/>
        </w:rPr>
        <w:t xml:space="preserve">Step 1: </w:t>
      </w:r>
      <w:r>
        <w:t xml:space="preserve"> Open transaction BP and click 'Create Person' or 'Create Organization'.</w:t>
      </w:r>
    </w:p>
    <w:p>
      <w:pPr>
        <w:pStyle w:val="ListBullet"/>
        <w:spacing w:after="60" w:line="276" w:lineRule="auto"/>
      </w:pPr>
      <w:r>
        <w:rPr>
          <w:b/>
        </w:rPr>
        <w:t xml:space="preserve">Step 2: </w:t>
      </w:r>
      <w:r>
        <w:t xml:space="preserve"> Choose the appropriate BP Role. Standard configurations utilize 'FLVN00' for Financial Accounting data and 'FLVN01' for Purchasing Data.</w:t>
      </w:r>
    </w:p>
    <w:p>
      <w:pPr>
        <w:pStyle w:val="ListBullet"/>
        <w:spacing w:after="60" w:line="276" w:lineRule="auto"/>
      </w:pPr>
      <w:r>
        <w:rPr>
          <w:b/>
        </w:rPr>
        <w:t xml:space="preserve">Step 3: </w:t>
      </w:r>
      <w:r>
        <w:t xml:space="preserve"> Enter general demographics such as Company Name, Address, Postal Code, and Language settings.</w:t>
      </w:r>
    </w:p>
    <w:p>
      <w:pPr>
        <w:pStyle w:val="ListBullet"/>
        <w:spacing w:after="60" w:line="276" w:lineRule="auto"/>
      </w:pPr>
      <w:r>
        <w:rPr>
          <w:b/>
        </w:rPr>
        <w:t xml:space="preserve">Step 4: </w:t>
      </w:r>
      <w:r>
        <w:t xml:space="preserve"> Switch to the 'FLVN00' role, select Company Code, and provide the Reconciliation Account and Payment Terms.</w:t>
      </w:r>
    </w:p>
    <w:p>
      <w:pPr>
        <w:pStyle w:val="ListBullet"/>
        <w:spacing w:after="60" w:line="276" w:lineRule="auto"/>
      </w:pPr>
      <w:r>
        <w:rPr>
          <w:b/>
        </w:rPr>
        <w:t xml:space="preserve">Step 5: </w:t>
      </w:r>
      <w:r>
        <w:t xml:space="preserve"> Switch to the 'FLVN01' role, select Purchasing Org, and input Order Currency, Schema Group, and Incoterms.</w:t>
      </w:r>
    </w:p>
    <w:p>
      <w:pPr>
        <w:pStyle w:val="ListBullet"/>
        <w:spacing w:after="60" w:line="276" w:lineRule="auto"/>
      </w:pPr>
      <w:r>
        <w:rPr>
          <w:b/>
        </w:rPr>
        <w:t xml:space="preserve">Step 6: </w:t>
      </w:r>
      <w:r>
        <w:t xml:space="preserve"> Save to generate the unique Business Partner and Vendor numbers.</w:t>
      </w:r>
    </w:p>
    <w:p>
      <w:pPr>
        <w:keepNext/>
        <w:spacing w:before="240" w:after="80"/>
      </w:pPr>
      <w:r>
        <w:rPr>
          <w:rFonts w:ascii="Calibri" w:hAnsi="Calibri"/>
          <w:b/>
          <w:color w:val="4682B4"/>
          <w:sz w:val="26"/>
        </w:rPr>
        <w:t>3.3 Creating the Purchase Info Record (PIR)</w:t>
      </w:r>
    </w:p>
    <w:p>
      <w:pPr>
        <w:pStyle w:val="ListBullet"/>
        <w:spacing w:after="60" w:line="276" w:lineRule="auto"/>
      </w:pPr>
      <w:r>
        <w:rPr>
          <w:b/>
        </w:rPr>
        <w:t xml:space="preserve">Transaction Code: </w:t>
      </w:r>
      <w:r>
        <w:t xml:space="preserve"> ME11 (Create), ME12 (Change), ME13 (Display).</w:t>
      </w:r>
    </w:p>
    <w:p>
      <w:pPr>
        <w:pStyle w:val="ListBullet"/>
        <w:spacing w:after="60" w:line="276" w:lineRule="auto"/>
      </w:pPr>
      <w:r>
        <w:rPr>
          <w:b/>
        </w:rPr>
        <w:t xml:space="preserve">Step 1: </w:t>
      </w:r>
      <w:r>
        <w:t xml:space="preserve"> Input the Material Number, Vendor Number, Purchasing Organization, and Plant.</w:t>
      </w:r>
    </w:p>
    <w:p>
      <w:pPr>
        <w:pStyle w:val="ListBullet"/>
        <w:spacing w:after="60" w:line="276" w:lineRule="auto"/>
      </w:pPr>
      <w:r>
        <w:rPr>
          <w:b/>
        </w:rPr>
        <w:t xml:space="preserve">Step 2: </w:t>
      </w:r>
      <w:r>
        <w:t xml:space="preserve"> Choose the Info Category type (Standard, Subcontracting, Pipeline, or Consignment).</w:t>
      </w:r>
    </w:p>
    <w:p>
      <w:pPr>
        <w:pStyle w:val="ListBullet"/>
        <w:spacing w:after="60" w:line="276" w:lineRule="auto"/>
      </w:pPr>
      <w:r>
        <w:rPr>
          <w:b/>
        </w:rPr>
        <w:t xml:space="preserve">Step 3: </w:t>
      </w:r>
      <w:r>
        <w:t xml:space="preserve"> In the General Data screen, enter vendor material numbers, origin data, and reminders.</w:t>
      </w:r>
    </w:p>
    <w:p>
      <w:pPr>
        <w:pStyle w:val="ListBullet"/>
        <w:spacing w:after="60" w:line="276" w:lineRule="auto"/>
      </w:pPr>
      <w:r>
        <w:rPr>
          <w:b/>
        </w:rPr>
        <w:t xml:space="preserve">Step 4: </w:t>
      </w:r>
      <w:r>
        <w:t xml:space="preserve"> Under Purchasing Organization Data, define Planned Delivery Time, Purchasing Group, Standard Quantity, and Net Price.</w:t>
      </w:r>
    </w:p>
    <w:p>
      <w:pPr>
        <w:pStyle w:val="ListBullet"/>
        <w:spacing w:after="60" w:line="276" w:lineRule="auto"/>
      </w:pPr>
      <w:r>
        <w:rPr>
          <w:b/>
        </w:rPr>
        <w:t xml:space="preserve">Step 5: </w:t>
      </w:r>
      <w:r>
        <w:t xml:space="preserve"> Save the record to establish the specific vendor-material pricing logic.</w:t>
      </w:r>
    </w:p>
    <w:p>
      <w:pPr>
        <w:keepNext/>
        <w:spacing w:before="240" w:after="80"/>
      </w:pPr>
      <w:r>
        <w:rPr>
          <w:rFonts w:ascii="Calibri" w:hAnsi="Calibri"/>
          <w:b/>
          <w:color w:val="4682B4"/>
          <w:sz w:val="26"/>
        </w:rPr>
        <w:t>3.4 Creating the Source List</w:t>
      </w:r>
    </w:p>
    <w:p>
      <w:pPr>
        <w:pStyle w:val="ListBullet"/>
        <w:spacing w:after="60" w:line="276" w:lineRule="auto"/>
      </w:pPr>
      <w:r>
        <w:rPr>
          <w:b/>
        </w:rPr>
        <w:t xml:space="preserve">Transaction Code: </w:t>
      </w:r>
      <w:r>
        <w:t xml:space="preserve"> ME01 (Create), ME03 (Display).</w:t>
      </w:r>
    </w:p>
    <w:p>
      <w:pPr>
        <w:pStyle w:val="ListBullet"/>
        <w:spacing w:after="60" w:line="276" w:lineRule="auto"/>
      </w:pPr>
      <w:r>
        <w:rPr>
          <w:b/>
        </w:rPr>
        <w:t xml:space="preserve">Step 1: </w:t>
      </w:r>
      <w:r>
        <w:t xml:space="preserve"> Enter the Material Number and its corresponding Plant code.</w:t>
      </w:r>
    </w:p>
    <w:p>
      <w:pPr>
        <w:pStyle w:val="ListBullet"/>
        <w:spacing w:after="60" w:line="276" w:lineRule="auto"/>
      </w:pPr>
      <w:r>
        <w:rPr>
          <w:b/>
        </w:rPr>
        <w:t xml:space="preserve">Step 2: </w:t>
      </w:r>
      <w:r>
        <w:t xml:space="preserve"> Input the Validity Start and End dates for the source allocation.</w:t>
      </w:r>
    </w:p>
    <w:p>
      <w:pPr>
        <w:pStyle w:val="ListBullet"/>
        <w:spacing w:after="60" w:line="276" w:lineRule="auto"/>
      </w:pPr>
      <w:r>
        <w:rPr>
          <w:b/>
        </w:rPr>
        <w:t xml:space="preserve">Step 3: </w:t>
      </w:r>
      <w:r>
        <w:t xml:space="preserve"> Assign the Vendor ID and the designated Purchasing Organization.</w:t>
      </w:r>
    </w:p>
    <w:p>
      <w:pPr>
        <w:pStyle w:val="ListBullet"/>
        <w:spacing w:after="60" w:line="276" w:lineRule="auto"/>
      </w:pPr>
      <w:r>
        <w:rPr>
          <w:b/>
        </w:rPr>
        <w:t xml:space="preserve">Step 4: </w:t>
      </w:r>
      <w:r>
        <w:t xml:space="preserve"> (Optional) Indicate whether the source is 'Fixed' (preferred) or 'Blocked' (restricted).</w:t>
      </w:r>
    </w:p>
    <w:p>
      <w:pPr>
        <w:pStyle w:val="ListBullet"/>
        <w:spacing w:after="60" w:line="276" w:lineRule="auto"/>
      </w:pPr>
      <w:r>
        <w:rPr>
          <w:b/>
        </w:rPr>
        <w:t xml:space="preserve">Step 5: </w:t>
      </w:r>
      <w:r>
        <w:t xml:space="preserve"> Save the Source List to facilitate automated material routing rules.</w:t>
      </w:r>
    </w:p>
    <w:p>
      <w:pPr>
        <w:keepNext/>
        <w:spacing w:before="360" w:after="120"/>
      </w:pPr>
      <w:r>
        <w:rPr>
          <w:rFonts w:ascii="Calibri" w:hAnsi="Calibri"/>
          <w:b/>
          <w:color w:val="003366"/>
          <w:sz w:val="32"/>
        </w:rPr>
        <w:t>4. Conclusion</w:t>
      </w:r>
    </w:p>
    <w:p>
      <w:pPr>
        <w:spacing w:after="120" w:line="276" w:lineRule="auto"/>
      </w:pPr>
      <w:r>
        <w:t>Master Data creation forms the bedrock of all subsequent logistical and procurement execution sequences in SAP MM. The accurate configuration of Material Masters, Business Partners, Purchase Info Records, and Source Lists ensures that operational processes—ranging from Purchase Requisition generation to Invoice Verification—run smoothly and without systematic disruptions.</w:t>
      </w:r>
    </w:p>
    <w:p>
      <w:pPr>
        <w:spacing w:after="120" w:line="276" w:lineRule="auto"/>
      </w:pPr>
      <w:r>
        <w:t>Proper maintenance of master data reduces master data repair overhead, minimizes data inconsistencies, enables procurement automation, and provides precise analytical insights for organizational supply chain decision-making.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