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Calibri" w:hAnsi="Calibri"/>
          <w:b/>
          <w:color w:val="1F497D"/>
          <w:sz w:val="48"/>
        </w:rPr>
        <w:t>SAP MM End-to-End Procurement Process Guide</w:t>
      </w:r>
    </w:p>
    <w:p>
      <w:pPr>
        <w:pStyle w:val="Heading1"/>
        <w:keepNext/>
        <w:spacing w:before="240" w:after="120"/>
        <w:pBdr>
          <w:bottom w:val="single" w:sz="12" w:space="4" w:color="1F497D"/>
        </w:pBdr>
      </w:pPr>
      <w:r>
        <w:rPr>
          <w:rFonts w:ascii="Calibri" w:hAnsi="Calibri"/>
          <w:color w:val="1F497D"/>
        </w:rPr>
        <w:t>1. Introduction to Procurement in SAP MM</w:t>
      </w:r>
    </w:p>
    <w:p>
      <w:pPr>
        <w:spacing w:after="200" w:line="276" w:lineRule="auto"/>
      </w:pPr>
      <w:r>
        <w:t>The procurement process in SAP Materials Management (MM) forms the operational backbone of organizational supply chain management. It encompasses the complete lifecycle of acquiring goods, materials, and business services from external vendors or internal sources. The primary objective of the SAP MM procurement component is to ensure the uninterrupted availability of required materials and services while optimizing administrative efficiency, inventory costs, and vendor relationships.</w:t>
      </w:r>
    </w:p>
    <w:p>
      <w:pPr>
        <w:spacing w:after="200" w:line="276" w:lineRule="auto"/>
      </w:pPr>
      <w:r>
        <w:t>In a modern enterprise, effective procurement acts as a strategic lever rather than a mere administrative function. SAP MM streamlines this process by enforcing tight integration with other core modules such as Finance (FI), Controlling (CO), Quality Management (QM), and Production Planning (PP). This integration delivers critical operational advantages:</w:t>
      </w:r>
    </w:p>
    <w:p>
      <w:pPr>
        <w:pStyle w:val="ListBullet"/>
        <w:spacing w:after="80"/>
      </w:pPr>
      <w:r>
        <w:rPr>
          <w:b/>
        </w:rPr>
        <w:t xml:space="preserve">Cost Optimization: </w:t>
      </w:r>
      <w:r>
        <w:t>By leveraging unified historic procurement volumes, organizations can negotiate superior framework pricing and discounts with vendor pools.</w:t>
      </w:r>
    </w:p>
    <w:p>
      <w:pPr>
        <w:pStyle w:val="ListBullet"/>
        <w:spacing w:after="80"/>
      </w:pPr>
      <w:r>
        <w:rPr>
          <w:b/>
        </w:rPr>
        <w:t xml:space="preserve">Process Standardization: </w:t>
      </w:r>
      <w:r>
        <w:t>Automating workflows with standardized system statuses ensures strict alignment with corporate compliance protocols and internal authorization matrices.</w:t>
      </w:r>
    </w:p>
    <w:p>
      <w:pPr>
        <w:pStyle w:val="ListBullet"/>
        <w:spacing w:after="80"/>
      </w:pPr>
      <w:r>
        <w:rPr>
          <w:b/>
        </w:rPr>
        <w:t xml:space="preserve">Data Transparency: </w:t>
      </w:r>
      <w:r>
        <w:t>Real-time updates dynamically link logistics transactions straight to financial ledger accounts, minimizing physical ledger variances and manual reconciling workflows.</w:t>
      </w:r>
    </w:p>
    <w:p>
      <w:pPr>
        <w:pStyle w:val="ListBullet"/>
        <w:spacing w:after="80"/>
      </w:pPr>
      <w:r>
        <w:rPr>
          <w:b/>
        </w:rPr>
        <w:t xml:space="preserve">Working Capital Control: </w:t>
      </w:r>
      <w:r>
        <w:t>Tight inventory valuation thresholds and just-in-time logistics paradigms minimize inventory carrying overhead, freeing locked capital components.</w:t>
      </w:r>
    </w:p>
    <w:p>
      <w:pPr>
        <w:pStyle w:val="Heading1"/>
        <w:keepNext/>
        <w:spacing w:before="240" w:after="120"/>
        <w:pBdr>
          <w:bottom w:val="single" w:sz="12" w:space="4" w:color="1F497D"/>
        </w:pBdr>
      </w:pPr>
      <w:r>
        <w:rPr>
          <w:rFonts w:ascii="Calibri" w:hAnsi="Calibri"/>
          <w:color w:val="1F497D"/>
        </w:rPr>
        <w:t>2. Steps in the Procurement Process</w:t>
      </w:r>
    </w:p>
    <w:p>
      <w:pPr>
        <w:spacing w:after="240"/>
      </w:pPr>
      <w:r>
        <w:t>The standard procurement cycle in SAP MM follows a structured series of transactions, commonly referred to as the 'Procure-to-Pay' (P2P) cycle. Below is the comprehensive step-by-step configuration and execution workflow:</w:t>
      </w:r>
    </w:p>
    <w:p>
      <w:pPr>
        <w:keepNext/>
        <w:spacing w:before="200" w:after="80"/>
      </w:pPr>
      <w:r>
        <w:rPr>
          <w:b/>
          <w:color w:val="1F497D"/>
          <w:sz w:val="24"/>
        </w:rPr>
        <w:t>Step 1: Determination of Requirements (Purchase Requisition)</w:t>
      </w:r>
    </w:p>
    <w:p>
      <w:pPr>
        <w:spacing w:after="80"/>
      </w:pPr>
      <w:r>
        <w:rPr>
          <w:i/>
          <w:color w:val="787878"/>
        </w:rPr>
        <w:t>Transaction Code (T-Code): ME51N (Create), ME52N (Change), ME53N (Display)</w:t>
      </w:r>
    </w:p>
    <w:p>
      <w:pPr>
        <w:spacing w:after="120" w:line="276" w:lineRule="auto"/>
      </w:pPr>
      <w:r>
        <w:t>The procurement cycle initiates when an internal department identifies a material or service requirement. This requirement can be triggered manually by an operator or generated automatically via the Material Requirements Planning (MRP) run based on production shortfalls.</w:t>
      </w:r>
    </w:p>
    <w:p>
      <w:pPr>
        <w:spacing w:after="40"/>
      </w:pPr>
      <w:r>
        <w:rPr>
          <w:b/>
        </w:rPr>
        <w:t>Key Operational Sub-actions:</w:t>
      </w:r>
    </w:p>
    <w:p>
      <w:pPr>
        <w:pStyle w:val="ListBullet"/>
        <w:spacing w:after="60"/>
      </w:pPr>
      <w:r>
        <w:t>Input the unique Material Number or Short Text description.</w:t>
      </w:r>
    </w:p>
    <w:p>
      <w:pPr>
        <w:pStyle w:val="ListBullet"/>
        <w:spacing w:after="60"/>
      </w:pPr>
      <w:r>
        <w:t>Specify the Target Quantity required and the requested Delivery Date.</w:t>
      </w:r>
    </w:p>
    <w:p>
      <w:pPr>
        <w:pStyle w:val="ListBullet"/>
        <w:spacing w:after="60"/>
      </w:pPr>
      <w:r>
        <w:t>Assign the specific receiving Plant (organizational unit) and Storage Location.</w:t>
      </w:r>
    </w:p>
    <w:p>
      <w:pPr>
        <w:pStyle w:val="ListBullet"/>
        <w:spacing w:after="60"/>
      </w:pPr>
      <w:r>
        <w:t>Determine Account Assignment Category (e.g., 'K' for Cost Center, 'P' for Project) if the material is not destined for stock storage.</w:t>
      </w:r>
    </w:p>
    <w:p>
      <w:pPr>
        <w:keepNext/>
        <w:spacing w:before="200" w:after="80"/>
      </w:pPr>
      <w:r>
        <w:rPr>
          <w:b/>
          <w:color w:val="1F497D"/>
          <w:sz w:val="24"/>
        </w:rPr>
        <w:t>Step 2: Source Determination and Vendor Selection</w:t>
      </w:r>
    </w:p>
    <w:p>
      <w:pPr>
        <w:spacing w:after="80"/>
      </w:pPr>
      <w:r>
        <w:rPr>
          <w:i/>
          <w:color w:val="787878"/>
        </w:rPr>
        <w:t>Transaction Code (T-Code): ME56 (Assign Source), ME57 (Assign and Process Requisitions)</w:t>
      </w:r>
    </w:p>
    <w:p>
      <w:pPr>
        <w:spacing w:after="120" w:line="276" w:lineRule="auto"/>
      </w:pPr>
      <w:r>
        <w:t>Once the Purchase Requisition is authorized, the system identifies potential purchasing sources. SAP MM scans active Purchase Info Records and valid Source Lists to map historical vendors to the requested material.</w:t>
      </w:r>
    </w:p>
    <w:p>
      <w:pPr>
        <w:spacing w:after="40"/>
      </w:pPr>
      <w:r>
        <w:rPr>
          <w:b/>
        </w:rPr>
        <w:t>Key Operational Sub-actions:</w:t>
      </w:r>
    </w:p>
    <w:p>
      <w:pPr>
        <w:pStyle w:val="ListBullet"/>
        <w:spacing w:after="60"/>
      </w:pPr>
      <w:r>
        <w:t>Execute source analysis workflows to identify predefined framework contracts.</w:t>
      </w:r>
    </w:p>
    <w:p>
      <w:pPr>
        <w:pStyle w:val="ListBullet"/>
        <w:spacing w:after="60"/>
      </w:pPr>
      <w:r>
        <w:t>If no valid source exists, trigger a Request for Quotation (RFQ) cycle via transaction ME41 to invite multiple external bids.</w:t>
      </w:r>
    </w:p>
    <w:p>
      <w:pPr>
        <w:pStyle w:val="ListBullet"/>
        <w:spacing w:after="60"/>
      </w:pPr>
      <w:r>
        <w:t>Maintain incoming vendor bid prices via transaction ME47 and execute the Quote Comparison Sheet (ME49) to select the optimal supplier based on cost and compliance factors.</w:t>
      </w:r>
    </w:p>
    <w:p>
      <w:pPr>
        <w:keepNext/>
        <w:spacing w:before="200" w:after="80"/>
      </w:pPr>
      <w:r>
        <w:rPr>
          <w:b/>
          <w:color w:val="1F497D"/>
          <w:sz w:val="24"/>
        </w:rPr>
        <w:t>Step 3: Purchase Order Creation</w:t>
      </w:r>
    </w:p>
    <w:p>
      <w:pPr>
        <w:spacing w:after="80"/>
      </w:pPr>
      <w:r>
        <w:rPr>
          <w:i/>
          <w:color w:val="787878"/>
        </w:rPr>
        <w:t>Transaction Code (T-Code): ME21N (Create), ME22N (Change), ME23N (Display)</w:t>
      </w:r>
    </w:p>
    <w:p>
      <w:pPr>
        <w:spacing w:after="120" w:line="276" w:lineRule="auto"/>
      </w:pPr>
      <w:r>
        <w:t>The Purchase Order (PO) is the formal, legally binding document issued by the purchasing organization to a vendor, defining the terms, delivery timelines, and financial constraints of the acquisition.</w:t>
      </w:r>
    </w:p>
    <w:p>
      <w:pPr>
        <w:spacing w:after="40"/>
      </w:pPr>
      <w:r>
        <w:rPr>
          <w:b/>
        </w:rPr>
        <w:t>Key Operational Sub-actions:</w:t>
      </w:r>
    </w:p>
    <w:p>
      <w:pPr>
        <w:pStyle w:val="ListBullet"/>
        <w:spacing w:after="60"/>
      </w:pPr>
      <w:r>
        <w:t>Reference the approved Purchase Requisition (PR) or quotation directly to pull forward material details, eliminating double data entry.</w:t>
      </w:r>
    </w:p>
    <w:p>
      <w:pPr>
        <w:pStyle w:val="ListBullet"/>
        <w:spacing w:after="60"/>
      </w:pPr>
      <w:r>
        <w:t>Input the purchasing organizational structure parameters: Purchasing Organization, Purchasing Group, and Company Code.</w:t>
      </w:r>
    </w:p>
    <w:p>
      <w:pPr>
        <w:pStyle w:val="ListBullet"/>
        <w:spacing w:after="60"/>
      </w:pPr>
      <w:r>
        <w:t>Verify the localized Net Price, Incoterms, and payment definitions pulled from the Purchase Info Record.</w:t>
      </w:r>
    </w:p>
    <w:p>
      <w:pPr>
        <w:pStyle w:val="ListBullet"/>
        <w:spacing w:after="60"/>
      </w:pPr>
      <w:r>
        <w:t>Save the document to generate a unique PO number and trigger output generation (EDI, Print, or Email) to the supplier.</w:t>
      </w:r>
    </w:p>
    <w:p>
      <w:pPr>
        <w:keepNext/>
        <w:spacing w:before="200" w:after="80"/>
      </w:pPr>
      <w:r>
        <w:rPr>
          <w:b/>
          <w:color w:val="1F497D"/>
          <w:sz w:val="24"/>
        </w:rPr>
        <w:t>Step 4: Goods Receipt Execution</w:t>
      </w:r>
    </w:p>
    <w:p>
      <w:pPr>
        <w:spacing w:after="80"/>
      </w:pPr>
      <w:r>
        <w:rPr>
          <w:i/>
          <w:color w:val="787878"/>
        </w:rPr>
        <w:t>Transaction Code (T-Code): MIGO</w:t>
      </w:r>
    </w:p>
    <w:p>
      <w:pPr>
        <w:spacing w:after="120" w:line="276" w:lineRule="auto"/>
      </w:pPr>
      <w:r>
        <w:t>Upon physical arrival of the components at the warehouse, a Goods Receipt (GR) is posted. This transaction documents the physical intake of materials and updates inventory levels.</w:t>
      </w:r>
    </w:p>
    <w:p>
      <w:pPr>
        <w:spacing w:after="40"/>
      </w:pPr>
      <w:r>
        <w:rPr>
          <w:b/>
        </w:rPr>
        <w:t>Key Operational Sub-actions:</w:t>
      </w:r>
    </w:p>
    <w:p>
      <w:pPr>
        <w:pStyle w:val="ListBullet"/>
        <w:spacing w:after="60"/>
      </w:pPr>
      <w:r>
        <w:t>Select the action 'Goods Receipt' against the reference document 'Purchase Order' within the MIGO control frame.</w:t>
      </w:r>
    </w:p>
    <w:p>
      <w:pPr>
        <w:pStyle w:val="ListBullet"/>
        <w:spacing w:after="60"/>
      </w:pPr>
      <w:r>
        <w:t>Input the delivery note number provided by the carrier and verify the physical package count against the line-item quantities.</w:t>
      </w:r>
    </w:p>
    <w:p>
      <w:pPr>
        <w:pStyle w:val="ListBullet"/>
        <w:spacing w:after="60"/>
      </w:pPr>
      <w:r>
        <w:t>Select the appropriate Movement Type: '101' posts materials straight into unrestricted stock, blocked stock, or quality inspection stock.</w:t>
      </w:r>
    </w:p>
    <w:p>
      <w:pPr>
        <w:pStyle w:val="ListBullet"/>
        <w:spacing w:after="60"/>
      </w:pPr>
      <w:r>
        <w:t>Flag the 'Item OK' checkbox and post the document. This movement triggers an automatic financial accounting entry: Debit Inventory (or Expense) and Credit GR/IR Clearing Account.</w:t>
      </w:r>
    </w:p>
    <w:p>
      <w:pPr>
        <w:keepNext/>
        <w:spacing w:before="200" w:after="80"/>
      </w:pPr>
      <w:r>
        <w:rPr>
          <w:b/>
          <w:color w:val="1F497D"/>
          <w:sz w:val="24"/>
        </w:rPr>
        <w:t>Step 5: Invoice Verification (Logistics Invoice Verification - LIV)</w:t>
      </w:r>
    </w:p>
    <w:p>
      <w:pPr>
        <w:spacing w:after="80"/>
      </w:pPr>
      <w:r>
        <w:rPr>
          <w:i/>
          <w:color w:val="787878"/>
        </w:rPr>
        <w:t>Transaction Code (T-Code): MIRO</w:t>
      </w:r>
    </w:p>
    <w:p>
      <w:pPr>
        <w:spacing w:after="120" w:line="276" w:lineRule="auto"/>
      </w:pPr>
      <w:r>
        <w:t>The procurement cycle concludes operationally with Invoice Verification. The supplier's physical invoice is mapped against the internal system state to ensure complete synchronization prior to issuing cash outflows.</w:t>
      </w:r>
    </w:p>
    <w:p>
      <w:pPr>
        <w:spacing w:after="40"/>
      </w:pPr>
      <w:r>
        <w:rPr>
          <w:b/>
        </w:rPr>
        <w:t>Key Operational Sub-actions:</w:t>
      </w:r>
    </w:p>
    <w:p>
      <w:pPr>
        <w:pStyle w:val="ListBullet"/>
        <w:spacing w:after="60"/>
      </w:pPr>
      <w:r>
        <w:t>Input the basic header details: Invoice Date, Reference Invoice Number, and Total Gross Amount including local taxes.</w:t>
      </w:r>
    </w:p>
    <w:p>
      <w:pPr>
        <w:pStyle w:val="ListBullet"/>
        <w:spacing w:after="60"/>
      </w:pPr>
      <w:r>
        <w:t>Reference the original Purchase Order number to automatically populate all matching line items.</w:t>
      </w:r>
    </w:p>
    <w:p>
      <w:pPr>
        <w:pStyle w:val="ListBullet"/>
        <w:spacing w:after="60"/>
      </w:pPr>
      <w:r>
        <w:t>Execute a three-way matching comparison check across the Purchase Order parameters, the Goods Receipt quantities, and the physical Invoice values.</w:t>
      </w:r>
    </w:p>
    <w:p>
      <w:pPr>
        <w:pStyle w:val="ListBullet"/>
        <w:spacing w:after="60"/>
      </w:pPr>
      <w:r>
        <w:t>Resolve variances within predefined system tolerance limits. Post the transaction to clear the GR/IR account, record the final vendor liability, and hand off the process to the Accounts Payable (FI-AP) team for payment processing via F110.</w:t>
      </w:r>
    </w:p>
    <w:p>
      <w:pPr>
        <w:pStyle w:val="Heading1"/>
        <w:keepNext/>
        <w:spacing w:before="240" w:after="120"/>
        <w:pBdr>
          <w:bottom w:val="single" w:sz="12" w:space="4" w:color="1F497D"/>
        </w:pBdr>
      </w:pPr>
      <w:r>
        <w:rPr>
          <w:rFonts w:ascii="Calibri" w:hAnsi="Calibri"/>
          <w:color w:val="1F497D"/>
        </w:rPr>
        <w:t>3. Conclusion: Challenges and Solutions</w:t>
      </w:r>
    </w:p>
    <w:p>
      <w:pPr>
        <w:spacing w:after="240"/>
      </w:pPr>
      <w:r>
        <w:t>Executing an enterprise-level procurement process introduces real-world transactional complexities. Below is an overview of major logistical challenges faced during system execution and their corresponding SAP architectural solutions: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r>
              <w:rPr>
                <w:b/>
                <w:color w:val="FFFFFF"/>
              </w:rPr>
              <w:t>Procurement Challenge</w:t>
            </w:r>
          </w:p>
        </w:tc>
        <w:tc>
          <w:tcPr>
            <w:tcW w:type="dxa" w:w="3120"/>
            <w:shd w:fill="1F497D"/>
            <w:tcMar>
              <w:top w:w="120" w:type="dxa"/>
              <w:bottom w:w="120" w:type="dxa"/>
              <w:left w:w="150" w:type="dxa"/>
              <w:right w:w="150" w:type="dxa"/>
            </w:tcMar>
          </w:tcPr>
          <w:p>
            <w:r>
              <w:rPr>
                <w:b/>
                <w:color w:val="FFFFFF"/>
              </w:rPr>
              <w:t>Operational &amp; Technical Impact</w:t>
            </w:r>
          </w:p>
        </w:tc>
        <w:tc>
          <w:tcPr>
            <w:tcW w:type="dxa" w:w="3120"/>
            <w:shd w:fill="1F497D"/>
            <w:tcMar>
              <w:top w:w="120" w:type="dxa"/>
              <w:bottom w:w="120" w:type="dxa"/>
              <w:left w:w="150" w:type="dxa"/>
              <w:right w:w="150" w:type="dxa"/>
            </w:tcMar>
          </w:tcPr>
          <w:p>
            <w:r>
              <w:rPr>
                <w:b/>
                <w:color w:val="FFFFFF"/>
              </w:rPr>
              <w:t>Systematic SAP MM Solution</w:t>
            </w:r>
          </w:p>
        </w:tc>
      </w:tr>
      <w:tr>
        <w:tc>
          <w:tcPr>
            <w:tcW w:type="dxa" w:w="3120"/>
            <w:tcMar>
              <w:top w:w="100" w:type="dxa"/>
              <w:bottom w:w="100" w:type="dxa"/>
              <w:left w:w="150" w:type="dxa"/>
              <w:right w:w="150" w:type="dxa"/>
            </w:tcMar>
          </w:tcPr>
          <w:p>
            <w:pPr>
              <w:spacing w:after="40"/>
            </w:pPr>
            <w:r>
              <w:rPr>
                <w:rFonts w:ascii="Calibri" w:hAnsi="Calibri"/>
                <w:sz w:val="21"/>
              </w:rPr>
              <w:t>Three-Way Matching Variances (Price/Quantity Mismatches)</w:t>
            </w:r>
          </w:p>
        </w:tc>
        <w:tc>
          <w:tcPr>
            <w:tcW w:type="dxa" w:w="3120"/>
            <w:tcMar>
              <w:top w:w="100" w:type="dxa"/>
              <w:bottom w:w="100" w:type="dxa"/>
              <w:left w:w="150" w:type="dxa"/>
              <w:right w:w="150" w:type="dxa"/>
            </w:tcMar>
          </w:tcPr>
          <w:p>
            <w:pPr>
              <w:spacing w:after="40"/>
            </w:pPr>
            <w:r>
              <w:rPr>
                <w:rFonts w:ascii="Calibri" w:hAnsi="Calibri"/>
                <w:sz w:val="21"/>
              </w:rPr>
              <w:t>Invoices fail validation due to updates in vendor pricing or incomplete logistics delivery receipts, locking up the clearing cycle.</w:t>
            </w:r>
          </w:p>
        </w:tc>
        <w:tc>
          <w:tcPr>
            <w:tcW w:type="dxa" w:w="3120"/>
            <w:tcMar>
              <w:top w:w="100" w:type="dxa"/>
              <w:bottom w:w="100" w:type="dxa"/>
              <w:left w:w="150" w:type="dxa"/>
              <w:right w:w="150" w:type="dxa"/>
            </w:tcMar>
          </w:tcPr>
          <w:p>
            <w:pPr>
              <w:spacing w:after="40"/>
            </w:pPr>
            <w:r>
              <w:rPr>
                <w:rFonts w:ascii="Calibri" w:hAnsi="Calibri"/>
                <w:sz w:val="21"/>
              </w:rPr>
              <w:t>Implement exact structural tolerance limits in transaction OMR6. Small deviations are automatically absorbed into variance accounts, while significant discrepancies trigger automated blocks until workflow clearing occurs.</w:t>
            </w:r>
          </w:p>
        </w:tc>
      </w:tr>
      <w:tr>
        <w:tc>
          <w:tcPr>
            <w:tcW w:type="dxa" w:w="3120"/>
            <w:tcMar>
              <w:top w:w="100" w:type="dxa"/>
              <w:bottom w:w="100" w:type="dxa"/>
              <w:left w:w="150" w:type="dxa"/>
              <w:right w:w="150" w:type="dxa"/>
            </w:tcMar>
          </w:tcPr>
          <w:p>
            <w:pPr>
              <w:spacing w:after="40"/>
            </w:pPr>
            <w:r>
              <w:rPr>
                <w:rFonts w:ascii="Calibri" w:hAnsi="Calibri"/>
                <w:sz w:val="21"/>
              </w:rPr>
              <w:t>Maverick Buying Practices</w:t>
            </w:r>
          </w:p>
        </w:tc>
        <w:tc>
          <w:tcPr>
            <w:tcW w:type="dxa" w:w="3120"/>
            <w:tcMar>
              <w:top w:w="100" w:type="dxa"/>
              <w:bottom w:w="100" w:type="dxa"/>
              <w:left w:w="150" w:type="dxa"/>
              <w:right w:w="150" w:type="dxa"/>
            </w:tcMar>
          </w:tcPr>
          <w:p>
            <w:pPr>
              <w:spacing w:after="40"/>
            </w:pPr>
            <w:r>
              <w:rPr>
                <w:rFonts w:ascii="Calibri" w:hAnsi="Calibri"/>
                <w:sz w:val="21"/>
              </w:rPr>
              <w:t>Departments purchase materials outside negotiated contracts, leading to increased costs and unmapped procurement channels.</w:t>
            </w:r>
          </w:p>
        </w:tc>
        <w:tc>
          <w:tcPr>
            <w:tcW w:type="dxa" w:w="3120"/>
            <w:tcMar>
              <w:top w:w="100" w:type="dxa"/>
              <w:bottom w:w="100" w:type="dxa"/>
              <w:left w:w="150" w:type="dxa"/>
              <w:right w:w="150" w:type="dxa"/>
            </w:tcMar>
          </w:tcPr>
          <w:p>
            <w:pPr>
              <w:spacing w:after="40"/>
            </w:pPr>
            <w:r>
              <w:rPr>
                <w:rFonts w:ascii="Calibri" w:hAnsi="Calibri"/>
                <w:sz w:val="21"/>
              </w:rPr>
              <w:t>Enforce strict automatic source determination profiles within the Purchase Requisition setup. Configure authorization checks via Basis profiles to prevent manual PO creation without referencing active framework contracts.</w:t>
            </w:r>
          </w:p>
        </w:tc>
      </w:tr>
      <w:tr>
        <w:tc>
          <w:tcPr>
            <w:tcW w:type="dxa" w:w="3120"/>
            <w:tcMar>
              <w:top w:w="100" w:type="dxa"/>
              <w:bottom w:w="100" w:type="dxa"/>
              <w:left w:w="150" w:type="dxa"/>
              <w:right w:w="150" w:type="dxa"/>
            </w:tcMar>
          </w:tcPr>
          <w:p>
            <w:pPr>
              <w:spacing w:after="40"/>
            </w:pPr>
            <w:r>
              <w:rPr>
                <w:rFonts w:ascii="Calibri" w:hAnsi="Calibri"/>
                <w:sz w:val="21"/>
              </w:rPr>
              <w:t>Stale or Inaccurate Purchase Requisitions</w:t>
            </w:r>
          </w:p>
        </w:tc>
        <w:tc>
          <w:tcPr>
            <w:tcW w:type="dxa" w:w="3120"/>
            <w:tcMar>
              <w:top w:w="100" w:type="dxa"/>
              <w:bottom w:w="100" w:type="dxa"/>
              <w:left w:w="150" w:type="dxa"/>
              <w:right w:w="150" w:type="dxa"/>
            </w:tcMar>
          </w:tcPr>
          <w:p>
            <w:pPr>
              <w:spacing w:after="40"/>
            </w:pPr>
            <w:r>
              <w:rPr>
                <w:rFonts w:ascii="Calibri" w:hAnsi="Calibri"/>
                <w:sz w:val="21"/>
              </w:rPr>
              <w:t>System accumulates outdated open PR items from MRP runs, distorting material demand forecasting models.</w:t>
            </w:r>
          </w:p>
        </w:tc>
        <w:tc>
          <w:tcPr>
            <w:tcW w:type="dxa" w:w="3120"/>
            <w:tcMar>
              <w:top w:w="100" w:type="dxa"/>
              <w:bottom w:w="100" w:type="dxa"/>
              <w:left w:w="150" w:type="dxa"/>
              <w:right w:w="150" w:type="dxa"/>
            </w:tcMar>
          </w:tcPr>
          <w:p>
            <w:pPr>
              <w:spacing w:after="40"/>
            </w:pPr>
            <w:r>
              <w:rPr>
                <w:rFonts w:ascii="Calibri" w:hAnsi="Calibri"/>
                <w:sz w:val="21"/>
              </w:rPr>
              <w:t>Schedule standard background automated house-cleaning routines using report RM06GD00 to automatically close out unfulfilled, aged PR quantities and flag them for archiving cycles.</w:t>
            </w:r>
          </w:p>
        </w:tc>
      </w:tr>
      <w:tr>
        <w:tc>
          <w:tcPr>
            <w:tcW w:type="dxa" w:w="3120"/>
            <w:tcMar>
              <w:top w:w="100" w:type="dxa"/>
              <w:bottom w:w="100" w:type="dxa"/>
              <w:left w:w="150" w:type="dxa"/>
              <w:right w:w="150" w:type="dxa"/>
            </w:tcMar>
          </w:tcPr>
          <w:p>
            <w:pPr>
              <w:spacing w:after="40"/>
            </w:pPr>
            <w:r>
              <w:rPr>
                <w:rFonts w:ascii="Calibri" w:hAnsi="Calibri"/>
                <w:sz w:val="21"/>
              </w:rPr>
              <w:t>Unreconciled GR/IR Balances</w:t>
            </w:r>
          </w:p>
        </w:tc>
        <w:tc>
          <w:tcPr>
            <w:tcW w:type="dxa" w:w="3120"/>
            <w:tcMar>
              <w:top w:w="100" w:type="dxa"/>
              <w:bottom w:w="100" w:type="dxa"/>
              <w:left w:w="150" w:type="dxa"/>
              <w:right w:w="150" w:type="dxa"/>
            </w:tcMar>
          </w:tcPr>
          <w:p>
            <w:pPr>
              <w:spacing w:after="40"/>
            </w:pPr>
            <w:r>
              <w:rPr>
                <w:rFonts w:ascii="Calibri" w:hAnsi="Calibri"/>
                <w:sz w:val="21"/>
              </w:rPr>
              <w:t>Variances remain permanently within the GR/IR clearing ledger due to items being partially invoiced or delivered incorrectly.</w:t>
            </w:r>
          </w:p>
        </w:tc>
        <w:tc>
          <w:tcPr>
            <w:tcW w:type="dxa" w:w="3120"/>
            <w:tcMar>
              <w:top w:w="100" w:type="dxa"/>
              <w:bottom w:w="100" w:type="dxa"/>
              <w:left w:w="150" w:type="dxa"/>
              <w:right w:w="150" w:type="dxa"/>
            </w:tcMar>
          </w:tcPr>
          <w:p>
            <w:pPr>
              <w:spacing w:after="40"/>
            </w:pPr>
            <w:r>
              <w:rPr>
                <w:rFonts w:ascii="Calibri" w:hAnsi="Calibri"/>
                <w:sz w:val="21"/>
              </w:rPr>
              <w:t>Deploy regular monthly analytical reviews via transaction MR11 (GR/IR Clearing Account Maintenance) to manually adjust balance discrepancies and clear residual ledger items.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