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003366"/>
          <w:sz w:val="48"/>
        </w:rPr>
        <w:t>SAP MM REPORTING &amp; ANALYTICS GUIDE</w:t>
        <w:br/>
      </w:r>
    </w:p>
    <w:p>
      <w:r>
        <w:rPr>
          <w:rFonts w:ascii="Arial" w:hAnsi="Arial"/>
          <w:i/>
          <w:color w:val="666666"/>
          <w:sz w:val="28"/>
        </w:rPr>
        <w:t>Strategic Data Extraction, Material Analytics, and Information Systems</w:t>
        <w:br/>
      </w:r>
    </w:p>
    <w:p>
      <w:r>
        <w:t>--------------------------------------------------------------------------------</w:t>
      </w:r>
    </w:p>
    <w:p>
      <w:pPr>
        <w:pStyle w:val="Heading1"/>
        <w:keepNext/>
        <w:spacing w:before="240" w:after="120"/>
        <w:pBdr>
          <w:bottom w:val="single" w:sz="6" w:space="4" w:color="003366"/>
        </w:pBdr>
      </w:pPr>
      <w:r>
        <w:rPr>
          <w:rFonts w:ascii="Arial" w:hAnsi="Arial"/>
          <w:color w:val="003366"/>
          <w:sz w:val="36"/>
        </w:rPr>
        <w:t>1. Introduction to Reporting in SAP MM</w:t>
      </w:r>
    </w:p>
    <w:p>
      <w:pPr>
        <w:spacing w:after="160"/>
      </w:pPr>
      <w:r>
        <w:t>In SAP Materials Management (MM), reporting serves as the foundation for visibility, compliance, and operational continuity within an enterprise's supply chain and procurement lifecycle. Without reliable data extraction mechanisms, supply chain actions remain reactive, introducing risks like stockouts, unmonitored vendor performance, and inflated procurement costs.</w:t>
      </w:r>
    </w:p>
    <w:p>
      <w:pPr>
        <w:spacing w:after="120"/>
      </w:pPr>
      <w:r>
        <w:t>The primary importance of reporting in SAP MM spans across multiple strategic layers:</w:t>
      </w:r>
    </w:p>
    <w:p>
      <w:pPr>
        <w:pStyle w:val="ListBullet"/>
        <w:spacing w:after="60"/>
      </w:pPr>
      <w:r>
        <w:rPr>
          <w:b/>
          <w:color w:val="003366"/>
        </w:rPr>
        <w:t xml:space="preserve">Operational Control: </w:t>
      </w:r>
      <w:r>
        <w:t>Enables purchasing agents and warehouse supervisors to track open requirements, pending deliveries, and inventory movements in real time.</w:t>
      </w:r>
    </w:p>
    <w:p>
      <w:pPr>
        <w:pStyle w:val="ListBullet"/>
        <w:spacing w:after="60"/>
      </w:pPr>
      <w:r>
        <w:rPr>
          <w:b/>
          <w:color w:val="003366"/>
        </w:rPr>
        <w:t xml:space="preserve">Financial Integrity: </w:t>
      </w:r>
      <w:r>
        <w:t>Ensures balance sheet precision by evaluating warehouse inventory assets, matching invoices with receipts, and assessing open liabilities.</w:t>
      </w:r>
    </w:p>
    <w:p>
      <w:pPr>
        <w:pStyle w:val="ListBullet"/>
        <w:spacing w:after="60"/>
      </w:pPr>
      <w:r>
        <w:rPr>
          <w:b/>
          <w:color w:val="003366"/>
        </w:rPr>
        <w:t xml:space="preserve">Strategic Decision-Making: </w:t>
      </w:r>
      <w:r>
        <w:t>Transforms transactional log data into actionable market intelligence. Management can analyze long-term vendor delivery patterns, negotiate volumetric price discounts, and optimize safety stock thresholds based on history.</w:t>
      </w:r>
    </w:p>
    <w:p>
      <w:pPr>
        <w:pStyle w:val="ListBullet"/>
        <w:spacing w:after="60"/>
      </w:pPr>
      <w:r>
        <w:rPr>
          <w:b/>
          <w:color w:val="003366"/>
        </w:rPr>
        <w:t xml:space="preserve">Process Compliance: </w:t>
      </w:r>
      <w:r>
        <w:t>Provides unambiguous audit trails to monitor maverick buying, enforce contract usage, and prevent system control deviations.</w:t>
      </w:r>
    </w:p>
    <w:p>
      <w:pPr>
        <w:pStyle w:val="Heading1"/>
        <w:keepNext/>
        <w:spacing w:before="240" w:after="120"/>
        <w:pBdr>
          <w:bottom w:val="single" w:sz="6" w:space="4" w:color="003366"/>
        </w:pBdr>
      </w:pPr>
      <w:r>
        <w:rPr>
          <w:rFonts w:ascii="Arial" w:hAnsi="Arial"/>
          <w:color w:val="003366"/>
          <w:sz w:val="36"/>
        </w:rPr>
        <w:t>2. Types of Reports</w:t>
      </w:r>
    </w:p>
    <w:p>
      <w:pPr>
        <w:spacing w:after="160"/>
      </w:pPr>
      <w:r>
        <w:t>SAP MM categorizes reporting frameworks into distinct functional groups. This ensures that tactical operational personnel and strategic executives can both access relevant data.</w:t>
      </w:r>
    </w:p>
    <w:tbl>
      <w:tblPr>
        <w:tblStyle w:val="LightShading-Accent1"/>
        <w:tblW w:type="auto" w:w="0"/>
        <w:tblLook w:firstColumn="1" w:firstRow="1" w:lastColumn="0" w:lastRow="0" w:noHBand="0" w:noVBand="1" w:val="04A0"/>
      </w:tblPr>
      <w:tblGrid>
        <w:gridCol w:w="2880"/>
        <w:gridCol w:w="2880"/>
        <w:gridCol w:w="2880"/>
      </w:tblGrid>
      <w:tr>
        <w:tc>
          <w:tcPr>
            <w:tcW w:type="dxa" w:w="2880"/>
            <w:tcMar>
              <w:top w:w="120" w:type="dxa"/>
              <w:bottom w:w="120" w:type="dxa"/>
              <w:left w:w="150" w:type="dxa"/>
              <w:right w:w="150" w:type="dxa"/>
            </w:tcMar>
            <w:shd w:fill="003366"/>
          </w:tcPr>
          <w:p>
            <w:r>
              <w:rPr>
                <w:b/>
                <w:color w:val="FFFFFF"/>
              </w:rPr>
              <w:t>Report Category</w:t>
            </w:r>
          </w:p>
        </w:tc>
        <w:tc>
          <w:tcPr>
            <w:tcW w:type="dxa" w:w="2880"/>
            <w:tcMar>
              <w:top w:w="120" w:type="dxa"/>
              <w:bottom w:w="120" w:type="dxa"/>
              <w:left w:w="150" w:type="dxa"/>
              <w:right w:w="150" w:type="dxa"/>
            </w:tcMar>
            <w:shd w:fill="003366"/>
          </w:tcPr>
          <w:p>
            <w:r>
              <w:rPr>
                <w:b/>
                <w:color w:val="FFFFFF"/>
              </w:rPr>
              <w:t>Primary T-Codes</w:t>
            </w:r>
          </w:p>
        </w:tc>
        <w:tc>
          <w:tcPr>
            <w:tcW w:type="dxa" w:w="2880"/>
            <w:tcMar>
              <w:top w:w="120" w:type="dxa"/>
              <w:bottom w:w="120" w:type="dxa"/>
              <w:left w:w="150" w:type="dxa"/>
              <w:right w:w="150" w:type="dxa"/>
            </w:tcMar>
            <w:shd w:fill="003366"/>
          </w:tcPr>
          <w:p>
            <w:r>
              <w:rPr>
                <w:b/>
                <w:color w:val="FFFFFF"/>
              </w:rPr>
              <w:t>Business Use &amp; Capabilities</w:t>
            </w:r>
          </w:p>
        </w:tc>
      </w:tr>
      <w:tr>
        <w:tc>
          <w:tcPr>
            <w:tcW w:type="dxa" w:w="2880"/>
            <w:tcMar>
              <w:top w:w="120" w:type="dxa"/>
              <w:bottom w:w="120" w:type="dxa"/>
              <w:left w:w="150" w:type="dxa"/>
              <w:right w:w="150" w:type="dxa"/>
            </w:tcMar>
          </w:tcPr>
          <w:p>
            <w:r>
              <w:t>Purchasing Documents Reports</w:t>
            </w:r>
          </w:p>
        </w:tc>
        <w:tc>
          <w:tcPr>
            <w:tcW w:type="dxa" w:w="2880"/>
            <w:tcMar>
              <w:top w:w="120" w:type="dxa"/>
              <w:bottom w:w="120" w:type="dxa"/>
              <w:left w:w="150" w:type="dxa"/>
              <w:right w:w="150" w:type="dxa"/>
            </w:tcMar>
          </w:tcPr>
          <w:p>
            <w:r>
              <w:t>ME2M, ME2L, ME3M, ME4L</w:t>
            </w:r>
          </w:p>
        </w:tc>
        <w:tc>
          <w:tcPr>
            <w:tcW w:type="dxa" w:w="2880"/>
            <w:tcMar>
              <w:top w:w="120" w:type="dxa"/>
              <w:bottom w:w="120" w:type="dxa"/>
              <w:left w:w="150" w:type="dxa"/>
              <w:right w:w="150" w:type="dxa"/>
            </w:tcMar>
          </w:tcPr>
          <w:p>
            <w:r>
              <w:t>Analyzes purchasing history by material (ME2M) or vendor (ME2L). Tracks open orders, delivery schedules, and deviations from contracts.</w:t>
            </w:r>
          </w:p>
        </w:tc>
      </w:tr>
      <w:tr>
        <w:tc>
          <w:tcPr>
            <w:tcW w:type="dxa" w:w="2880"/>
            <w:tcMar>
              <w:top w:w="120" w:type="dxa"/>
              <w:bottom w:w="120" w:type="dxa"/>
              <w:left w:w="150" w:type="dxa"/>
              <w:right w:w="150" w:type="dxa"/>
            </w:tcMar>
          </w:tcPr>
          <w:p>
            <w:r>
              <w:t>Inventory Management Reports</w:t>
            </w:r>
          </w:p>
        </w:tc>
        <w:tc>
          <w:tcPr>
            <w:tcW w:type="dxa" w:w="2880"/>
            <w:tcMar>
              <w:top w:w="120" w:type="dxa"/>
              <w:bottom w:w="120" w:type="dxa"/>
              <w:left w:w="150" w:type="dxa"/>
              <w:right w:w="150" w:type="dxa"/>
            </w:tcMar>
          </w:tcPr>
          <w:p>
            <w:r>
              <w:t>MMBE, MB51, MB52</w:t>
            </w:r>
          </w:p>
        </w:tc>
        <w:tc>
          <w:tcPr>
            <w:tcW w:type="dxa" w:w="2880"/>
            <w:tcMar>
              <w:top w:w="120" w:type="dxa"/>
              <w:bottom w:w="120" w:type="dxa"/>
              <w:left w:w="150" w:type="dxa"/>
              <w:right w:w="150" w:type="dxa"/>
            </w:tcMar>
          </w:tcPr>
          <w:p>
            <w:r>
              <w:t>Tracks exact physical asset distributions. MMBE provides real-time stock breakdowns per plant/storage location; MB51 audits historical material movement documents.</w:t>
            </w:r>
          </w:p>
        </w:tc>
      </w:tr>
      <w:tr>
        <w:tc>
          <w:tcPr>
            <w:tcW w:type="dxa" w:w="2880"/>
            <w:tcMar>
              <w:top w:w="120" w:type="dxa"/>
              <w:bottom w:w="120" w:type="dxa"/>
              <w:left w:w="150" w:type="dxa"/>
              <w:right w:w="150" w:type="dxa"/>
            </w:tcMar>
          </w:tcPr>
          <w:p>
            <w:r>
              <w:t>Logistics Invoice Verification (LIV)</w:t>
            </w:r>
          </w:p>
        </w:tc>
        <w:tc>
          <w:tcPr>
            <w:tcW w:type="dxa" w:w="2880"/>
            <w:tcMar>
              <w:top w:w="120" w:type="dxa"/>
              <w:bottom w:w="120" w:type="dxa"/>
              <w:left w:w="150" w:type="dxa"/>
              <w:right w:w="150" w:type="dxa"/>
            </w:tcMar>
          </w:tcPr>
          <w:p>
            <w:r>
              <w:t>MIR4, MRBR</w:t>
            </w:r>
          </w:p>
        </w:tc>
        <w:tc>
          <w:tcPr>
            <w:tcW w:type="dxa" w:w="2880"/>
            <w:tcMar>
              <w:top w:w="120" w:type="dxa"/>
              <w:bottom w:w="120" w:type="dxa"/>
              <w:left w:w="150" w:type="dxa"/>
              <w:right w:w="150" w:type="dxa"/>
            </w:tcMar>
          </w:tcPr>
          <w:p>
            <w:r>
              <w:t>Identifies financial anomalies. Blocks incorrect invoices (MRBR) and verifies historical accounting matches against purchasing lines.</w:t>
            </w:r>
          </w:p>
        </w:tc>
      </w:tr>
      <w:tr>
        <w:tc>
          <w:tcPr>
            <w:tcW w:type="dxa" w:w="2880"/>
            <w:tcMar>
              <w:top w:w="120" w:type="dxa"/>
              <w:bottom w:w="120" w:type="dxa"/>
              <w:left w:w="150" w:type="dxa"/>
              <w:right w:w="150" w:type="dxa"/>
            </w:tcMar>
          </w:tcPr>
          <w:p>
            <w:r>
              <w:t>Logistics Information System (LIS)</w:t>
            </w:r>
          </w:p>
        </w:tc>
        <w:tc>
          <w:tcPr>
            <w:tcW w:type="dxa" w:w="2880"/>
            <w:tcMar>
              <w:top w:w="120" w:type="dxa"/>
              <w:bottom w:w="120" w:type="dxa"/>
              <w:left w:w="150" w:type="dxa"/>
              <w:right w:w="150" w:type="dxa"/>
            </w:tcMar>
          </w:tcPr>
          <w:p>
            <w:r>
              <w:t>MC.A, MC.9, MC.5</w:t>
            </w:r>
          </w:p>
        </w:tc>
        <w:tc>
          <w:tcPr>
            <w:tcW w:type="dxa" w:w="2880"/>
            <w:tcMar>
              <w:top w:w="120" w:type="dxa"/>
              <w:bottom w:w="120" w:type="dxa"/>
              <w:left w:w="150" w:type="dxa"/>
              <w:right w:w="150" w:type="dxa"/>
            </w:tcMar>
          </w:tcPr>
          <w:p>
            <w:r>
              <w:t>Aggregates raw data into long-term strategic analytical structures. Monitors stock turnover ratios and evaluates vendor service level agreements over extended time horizons.</w:t>
            </w:r>
          </w:p>
        </w:tc>
      </w:tr>
    </w:tbl>
    <w:p>
      <w:pPr>
        <w:spacing w:after="240"/>
      </w:pPr>
    </w:p>
    <w:p>
      <w:pPr>
        <w:pStyle w:val="Heading1"/>
        <w:keepNext/>
        <w:spacing w:before="240" w:after="120"/>
        <w:pBdr>
          <w:bottom w:val="single" w:sz="6" w:space="4" w:color="003366"/>
        </w:pBdr>
      </w:pPr>
      <w:r>
        <w:rPr>
          <w:rFonts w:ascii="Arial" w:hAnsi="Arial"/>
          <w:color w:val="003366"/>
          <w:sz w:val="36"/>
        </w:rPr>
        <w:t>3. Steps to Generate Reports</w:t>
      </w:r>
    </w:p>
    <w:p>
      <w:pPr>
        <w:spacing w:after="160"/>
      </w:pPr>
      <w:r>
        <w:t>To ensure extraction precision, users must navigate reporting structures systematically. Below are the operational workflows required to execute the most common standard reports in SAP MM.</w:t>
      </w:r>
    </w:p>
    <w:p>
      <w:pPr>
        <w:pStyle w:val="Heading2"/>
        <w:keepNext/>
        <w:spacing w:before="240" w:after="120"/>
      </w:pPr>
      <w:r>
        <w:rPr>
          <w:rFonts w:ascii="Arial" w:hAnsi="Arial"/>
          <w:color w:val="4682B4"/>
          <w:sz w:val="28"/>
        </w:rPr>
        <w:t>A. Executing Inventory Stock Overview (MMBE)</w:t>
      </w:r>
    </w:p>
    <w:p>
      <w:pPr>
        <w:spacing w:after="60"/>
        <w:ind w:left="360"/>
      </w:pPr>
      <w:r>
        <w:rPr>
          <w:b/>
        </w:rPr>
        <w:t xml:space="preserve">1. </w:t>
      </w:r>
      <w:r>
        <w:t>Enter transaction code MMBE in the SAP command line field and press Enter.</w:t>
      </w:r>
    </w:p>
    <w:p>
      <w:pPr>
        <w:spacing w:after="60"/>
        <w:ind w:left="360"/>
      </w:pPr>
      <w:r>
        <w:rPr>
          <w:b/>
        </w:rPr>
        <w:t xml:space="preserve">2. </w:t>
      </w:r>
      <w:r>
        <w:t>Input the specific Material Number (compulsory) for the record being evaluated.</w:t>
      </w:r>
    </w:p>
    <w:p>
      <w:pPr>
        <w:spacing w:after="60"/>
        <w:ind w:left="360"/>
      </w:pPr>
      <w:r>
        <w:rPr>
          <w:b/>
        </w:rPr>
        <w:t xml:space="preserve">3. </w:t>
      </w:r>
      <w:r>
        <w:t>Define organizational boundaries by populating Plant and Storage Location fields to filter data, or leave them blank for a comprehensive global corporate overview.</w:t>
      </w:r>
    </w:p>
    <w:p>
      <w:pPr>
        <w:spacing w:after="60"/>
        <w:ind w:left="360"/>
      </w:pPr>
      <w:r>
        <w:rPr>
          <w:b/>
        </w:rPr>
        <w:t xml:space="preserve">4. </w:t>
      </w:r>
      <w:r>
        <w:t>Verify that the Selection Type parameters are configured to display all active stock types (Unrestricted, Quality Inspection, Reserved, and Blocked stock).</w:t>
      </w:r>
    </w:p>
    <w:p>
      <w:pPr>
        <w:spacing w:after="60"/>
        <w:ind w:left="360"/>
      </w:pPr>
      <w:r>
        <w:rPr>
          <w:b/>
        </w:rPr>
        <w:t xml:space="preserve">5. </w:t>
      </w:r>
      <w:r>
        <w:t>Click the Execute icon (F8 shortcut key) on the standard application toolbar.</w:t>
      </w:r>
    </w:p>
    <w:p>
      <w:pPr>
        <w:spacing w:after="60"/>
        <w:ind w:left="360"/>
      </w:pPr>
      <w:r>
        <w:rPr>
          <w:b/>
        </w:rPr>
        <w:t xml:space="preserve">6. </w:t>
      </w:r>
      <w:r>
        <w:t>Interpret results on the dynamic hierarchical tree output display. Drill down from Client to Company Code, Plant, and Storage Location levels to isolate exact material volumes.</w:t>
      </w:r>
    </w:p>
    <w:p>
      <w:pPr>
        <w:pStyle w:val="Heading2"/>
        <w:keepNext/>
        <w:spacing w:before="240" w:after="120"/>
      </w:pPr>
      <w:r>
        <w:rPr>
          <w:rFonts w:ascii="Arial" w:hAnsi="Arial"/>
          <w:color w:val="4682B4"/>
          <w:sz w:val="28"/>
        </w:rPr>
        <w:t>B. Executing Purchasing Documents by Material (ME2M)</w:t>
      </w:r>
    </w:p>
    <w:p>
      <w:pPr>
        <w:spacing w:after="60"/>
        <w:ind w:left="360"/>
      </w:pPr>
      <w:r>
        <w:rPr>
          <w:b/>
        </w:rPr>
        <w:t xml:space="preserve">1. </w:t>
      </w:r>
      <w:r>
        <w:t>Enter transaction code ME2M into the SAP terminal screen navigation panel.</w:t>
      </w:r>
    </w:p>
    <w:p>
      <w:pPr>
        <w:spacing w:after="60"/>
        <w:ind w:left="360"/>
      </w:pPr>
      <w:r>
        <w:rPr>
          <w:b/>
        </w:rPr>
        <w:t xml:space="preserve">2. </w:t>
      </w:r>
      <w:r>
        <w:t>Provide the targeting Material Number or Material Group string to filter records.</w:t>
      </w:r>
    </w:p>
    <w:p>
      <w:pPr>
        <w:spacing w:after="60"/>
        <w:ind w:left="360"/>
      </w:pPr>
      <w:r>
        <w:rPr>
          <w:b/>
        </w:rPr>
        <w:t xml:space="preserve">3. </w:t>
      </w:r>
      <w:r>
        <w:t>Input the scope of list parameter (e.g., use ALV for interactive grid layouts or BEST for traditional flat standard lists).</w:t>
      </w:r>
    </w:p>
    <w:p>
      <w:pPr>
        <w:spacing w:after="60"/>
        <w:ind w:left="360"/>
      </w:pPr>
      <w:r>
        <w:rPr>
          <w:b/>
        </w:rPr>
        <w:t xml:space="preserve">4. </w:t>
      </w:r>
      <w:r>
        <w:t>Apply specific selection parameters in the 'Selection Parameters' input line (e.g., WE101 to find open receipts, or RECHNUNG to isolate lines awaiting invoice reconciliation).</w:t>
      </w:r>
    </w:p>
    <w:p>
      <w:pPr>
        <w:spacing w:after="60"/>
        <w:ind w:left="360"/>
      </w:pPr>
      <w:r>
        <w:rPr>
          <w:b/>
        </w:rPr>
        <w:t xml:space="preserve">5. </w:t>
      </w:r>
      <w:r>
        <w:t>Execute the transaction program by pressing the F8 function key.</w:t>
      </w:r>
    </w:p>
    <w:p>
      <w:pPr>
        <w:spacing w:after="60"/>
        <w:ind w:left="360"/>
      </w:pPr>
      <w:r>
        <w:rPr>
          <w:b/>
        </w:rPr>
        <w:t xml:space="preserve">6. </w:t>
      </w:r>
      <w:r>
        <w:t>Analyze the structural column summary. Filter or sort rows inside the ALV interface to review variance quantities, net pricing tiers, and open purchase delivery obligations.</w:t>
      </w:r>
    </w:p>
    <w:p>
      <w:pPr>
        <w:pStyle w:val="Heading2"/>
        <w:keepNext/>
        <w:spacing w:before="240" w:after="120"/>
      </w:pPr>
      <w:r>
        <w:rPr>
          <w:rFonts w:ascii="Arial" w:hAnsi="Arial"/>
          <w:color w:val="4682B4"/>
          <w:sz w:val="28"/>
        </w:rPr>
        <w:t>C. Executing Material Document List (MB51)</w:t>
      </w:r>
    </w:p>
    <w:p>
      <w:pPr>
        <w:spacing w:after="60"/>
        <w:ind w:left="360"/>
      </w:pPr>
      <w:r>
        <w:rPr>
          <w:b/>
        </w:rPr>
        <w:t xml:space="preserve">1. </w:t>
      </w:r>
      <w:r>
        <w:t>Access transaction code MB51 via the command console terminal prompt.</w:t>
      </w:r>
    </w:p>
    <w:p>
      <w:pPr>
        <w:spacing w:after="60"/>
        <w:ind w:left="360"/>
      </w:pPr>
      <w:r>
        <w:rPr>
          <w:b/>
        </w:rPr>
        <w:t xml:space="preserve">2. </w:t>
      </w:r>
      <w:r>
        <w:t>Isolate historical periods by entering range parameters in the Posting Date inputs.</w:t>
      </w:r>
    </w:p>
    <w:p>
      <w:pPr>
        <w:spacing w:after="60"/>
        <w:ind w:left="360"/>
      </w:pPr>
      <w:r>
        <w:rPr>
          <w:b/>
        </w:rPr>
        <w:t xml:space="preserve">3. </w:t>
      </w:r>
      <w:r>
        <w:t>Filter by specific Movement Types (e.g., 101 for standard external goods receipts, or 201 for internal cost center stock allocation consumption).</w:t>
      </w:r>
    </w:p>
    <w:p>
      <w:pPr>
        <w:spacing w:after="60"/>
        <w:ind w:left="360"/>
      </w:pPr>
      <w:r>
        <w:rPr>
          <w:b/>
        </w:rPr>
        <w:t xml:space="preserve">4. </w:t>
      </w:r>
      <w:r>
        <w:t>Press F8 or click the Execute execution button.</w:t>
      </w:r>
    </w:p>
    <w:p>
      <w:pPr>
        <w:spacing w:after="60"/>
        <w:ind w:left="360"/>
      </w:pPr>
      <w:r>
        <w:rPr>
          <w:b/>
        </w:rPr>
        <w:t xml:space="preserve">5. </w:t>
      </w:r>
      <w:r>
        <w:t>Review the resulting material log tracking record lines. Double-click any single row layout entry to review the underlying material certificate document details, recording operator details, and financial balancing accounting indicators.</w:t>
      </w:r>
    </w:p>
    <w:p>
      <w:pPr>
        <w:spacing w:after="240"/>
      </w:pPr>
    </w:p>
    <w:p>
      <w:pPr>
        <w:pStyle w:val="Heading1"/>
        <w:keepNext/>
        <w:spacing w:before="240" w:after="120"/>
        <w:pBdr>
          <w:bottom w:val="single" w:sz="6" w:space="4" w:color="003366"/>
        </w:pBdr>
      </w:pPr>
      <w:r>
        <w:rPr>
          <w:rFonts w:ascii="Arial" w:hAnsi="Arial"/>
          <w:color w:val="003366"/>
          <w:sz w:val="36"/>
        </w:rPr>
        <w:t>4. Conclusion</w:t>
      </w:r>
    </w:p>
    <w:p>
      <w:pPr>
        <w:spacing w:after="160"/>
      </w:pPr>
      <w:r>
        <w:t>SAP MM Reporting transforms raw transactional logs into strategic operational intelligence. By mastering standard transaction codes and analytical structures, an organization secures absolute visibility across inventory positions and procurement networks.</w:t>
      </w:r>
    </w:p>
    <w:p>
      <w:pPr>
        <w:spacing w:after="120"/>
      </w:pPr>
      <w:r>
        <w:t>These information outputs directly drive enterprise decision-making frameworks across multiple disciplines:</w:t>
      </w:r>
    </w:p>
    <w:p>
      <w:pPr>
        <w:pStyle w:val="ListBullet"/>
        <w:spacing w:after="60"/>
      </w:pPr>
      <w:r>
        <w:rPr>
          <w:b/>
          <w:color w:val="003366"/>
        </w:rPr>
        <w:t xml:space="preserve">Capital Optimization: </w:t>
      </w:r>
      <w:r>
        <w:t>Using reports like MC.9 (Material Analysis), companies can identify slow-moving or completely stagnant stock. This allows them to eliminate dead capital tied up in warehouses and adjust safety stock configurations dynamically.</w:t>
      </w:r>
    </w:p>
    <w:p>
      <w:pPr>
        <w:pStyle w:val="ListBullet"/>
        <w:spacing w:after="60"/>
      </w:pPr>
      <w:r>
        <w:rPr>
          <w:b/>
          <w:color w:val="003366"/>
        </w:rPr>
        <w:t xml:space="preserve">Strategic Vendor Sourcing: </w:t>
      </w:r>
      <w:r>
        <w:t>Purchasing histories aggregated through ME2L and LIS matrices serve as quantitative evaluation report cards. Procurement teams can leverage these during contract renewal negotiations to lock in competitive pricing tiers based on proven vendor reliability metrics.</w:t>
      </w:r>
    </w:p>
    <w:p>
      <w:pPr>
        <w:pStyle w:val="ListBullet"/>
        <w:spacing w:after="60"/>
      </w:pPr>
      <w:r>
        <w:rPr>
          <w:b/>
          <w:color w:val="003366"/>
        </w:rPr>
        <w:t xml:space="preserve">Proactive Supply Chain Mitigation: </w:t>
      </w:r>
      <w:r>
        <w:t>Open tracking frameworks via ME2M and Selection Parameters pinpoint exactly which production materials are delayed at vendor sites. This allows planners to redirect purchase pathways before lines go down.</w:t>
      </w:r>
    </w:p>
    <w:p>
      <w:pPr>
        <w:pStyle w:val="ListBullet"/>
        <w:spacing w:after="60"/>
      </w:pPr>
      <w:r>
        <w:rPr>
          <w:b/>
          <w:color w:val="003366"/>
        </w:rPr>
        <w:t xml:space="preserve">Tight Financial Alignment: </w:t>
      </w:r>
      <w:r>
        <w:t>Discrepancy logs generated via LIV reporting (MRBR) provide real-time warning indicators of operational mismatch trends, preventing cash leakage and streamlining corporate ledger closings.</w:t>
      </w:r>
    </w:p>
    <w:p>
      <w:pPr>
        <w:spacing w:after="240"/>
      </w:pPr>
      <w:r>
        <w:t>In conclusion, SAP MM reporting is not merely a tool for historical review. It serves as an active dashboard that establishes operational resilience, financial precision, and supply chain excellence.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