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5/4/23</w:t>
      </w:r>
    </w:p>
    <w:bookmarkStart w:id="20" w:name="summaryabstract"/>
    <w:p>
      <w:pPr>
        <w:pStyle w:val="Heading1"/>
      </w:pPr>
      <w:r>
        <w:t xml:space="preserve">1. Summary/Abstract</w:t>
      </w:r>
    </w:p>
    <w:p>
      <w:pPr>
        <w:pStyle w:val="FirstParagraph"/>
      </w:pPr>
      <w:r>
        <w:t xml:space="preserve">There exists racial differences in mammography screening and breast cancer incidence rates. Hispanic and Black women mostly have later stage cancer diagnosis and lower survival rates compared to White women. Mammography screening could be of great importance in reducing such later stage breast cancer diagnosis among minority women. In that case, it is essential to understand the association between breast cancer screening (mammogram) and socio-economic status of Hispanic and non-Hispanic women. This study was conducted to fill up that knowledge gap with the aim of exploring the relationship trend among socioeconomic status and other predictive factors influencing the likelihood of using mammography screening services within Hispanic and non-Hispanic women.</w:t>
      </w:r>
    </w:p>
    <w:p>
      <w:pPr>
        <w:pStyle w:val="BodyText"/>
      </w:pPr>
      <w:r>
        <w:t xml:space="preserve">This study used the publicly available self-reported data from the National Health Interview Survey (NHIS). The study was limited to 40-74 years Hispanic and non-Hispanic women with no report of cancer during the years 2000, 2005, 2010, and 2015. After data cleaning, 24,848 subjects were used for subsequent data analysis.</w:t>
      </w:r>
    </w:p>
    <w:p>
      <w:pPr>
        <w:pStyle w:val="BodyText"/>
      </w:pPr>
      <w:r>
        <w:t xml:space="preserve">Women aged 40-74 years were reported having mammogram as 84.5%, 85.3%, 87.8%, and 87.5% during years’ 2000, 2005, 2010, and 2015 respectively. Hispanic women were found having lower mammogram screening rates (80.0%) compared to non-Hispanic women (87.5%). All bivariate and multivariate relationships between mammogram status and hypothesized predictors (year, hispanic status, age, income, education, marital status, region of residence, insurance status, health status, usual medical care status, smoking status, alcohol status, and diabetes status) were found to be significantly associated with mammogram screening. There was a higher odds of having mammogram among women with income at or above the poverty threshold as opposed to those below the poverty threshold. More educated women had higher odds of having mammogram compared to low or even non-educated women. Current smokers were found having lower odds of having mammograms compared to never smokers.</w:t>
      </w:r>
    </w:p>
    <w:p>
      <w:pPr>
        <w:pStyle w:val="BodyText"/>
      </w:pPr>
      <w:r>
        <w:t xml:space="preserve">This study findings could be of great importance as health practitioners could identify high risk behavior individuals and recommend appropriate cancer screening services. Given the lower overall breast cancer screening rates among Hispanic women, increased education and awareness should be among top priorities for developing appropriate population-based interventions for increasing the use of mammography screening. Furthermore, intervention programs should emphasize on educating women and on making uneducated women aware of such cancer screening services.</w:t>
      </w:r>
    </w:p>
    <w:bookmarkEnd w:id="20"/>
    <w:bookmarkStart w:id="21" w:name="introduction"/>
    <w:p>
      <w:pPr>
        <w:pStyle w:val="Heading1"/>
      </w:pPr>
      <w:r>
        <w:t xml:space="preserve">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w:t>
      </w:r>
      <w:r>
        <w:rPr>
          <w:vertAlign w:val="superscript"/>
        </w:rPr>
        <w:t xml:space="preserve">1</w:t>
      </w:r>
      <w:r>
        <w:t xml:space="preserve">). Mammography screening can help detect and treat breast cancer at early stages reducing the mortality rate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w:t>
      </w:r>
      <w:r>
        <w:rPr>
          <w:vertAlign w:val="superscript"/>
        </w:rPr>
        <w:t xml:space="preserve">5</w:t>
      </w:r>
      <w:r>
        <w:t xml:space="preserv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 (</w:t>
      </w:r>
      <w:r>
        <w:rPr>
          <w:vertAlign w:val="superscript"/>
        </w:rPr>
        <w:t xml:space="preserve">6</w:t>
      </w:r>
      <w:r>
        <w:t xml:space="preserve">).</w:t>
      </w:r>
    </w:p>
    <w:p>
      <w:pPr>
        <w:pStyle w:val="BodyText"/>
      </w:pPr>
      <w:r>
        <w:t xml:space="preserve">There are well established racial differences in breast cancer incidence and mortality rates (</w:t>
      </w:r>
      <w:r>
        <w:rPr>
          <w:vertAlign w:val="superscript"/>
        </w:rPr>
        <w:t xml:space="preserve">7</w:t>
      </w:r>
      <w:r>
        <w:t xml:space="preserve">,</w:t>
      </w:r>
      <w:r>
        <w:rPr>
          <w:vertAlign w:val="superscript"/>
        </w:rPr>
        <w:t xml:space="preserve">8</w:t>
      </w:r>
      <w:r>
        <w:t xml:space="preserve">). The rate of breast cancer is higher among White women compared to Black and Hispanic women. But Black and Hispanic women are often diagnosed at later stages of the cancer and have lower survival rates compared to White women (</w:t>
      </w:r>
      <w:r>
        <w:rPr>
          <w:vertAlign w:val="superscript"/>
        </w:rPr>
        <w:t xml:space="preserve">7</w:t>
      </w:r>
      <w:r>
        <w:t xml:space="preserve">).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 (</w:t>
      </w:r>
      <w:r>
        <w:rPr>
          <w:vertAlign w:val="superscript"/>
        </w:rPr>
        <w:t xml:space="preserve">9</w:t>
      </w:r>
      <w:r>
        <w:t xml:space="preserve">).</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w:t>
      </w:r>
      <w:r>
        <w:rPr>
          <w:vertAlign w:val="superscript"/>
        </w:rPr>
        <w:t xml:space="preserve">7</w:t>
      </w:r>
      <w:r>
        <w:t xml:space="preserve">). It is important to understand the influence of women’s SES and race/ethnicity on the use of available health care services for improving knowledge about service utilization pattern in women population and for designing appropriate interventions accordingly (</w:t>
      </w:r>
      <w:r>
        <w:rPr>
          <w:vertAlign w:val="superscript"/>
        </w:rPr>
        <w:t xml:space="preserve">10</w:t>
      </w:r>
      <w:r>
        <w:t xml:space="preserve">).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 (</w:t>
      </w:r>
      <w:r>
        <w:rPr>
          <w:vertAlign w:val="superscript"/>
        </w:rPr>
        <w:t xml:space="preserve">7</w:t>
      </w:r>
      <w:r>
        <w:t xml:space="preserve">).</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bookmarkEnd w:id="21"/>
    <w:bookmarkStart w:id="23" w:name="methods"/>
    <w:p>
      <w:pPr>
        <w:pStyle w:val="Heading1"/>
      </w:pPr>
      <w:r>
        <w:t xml:space="preserve">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w:t>
      </w:r>
      <w:r>
        <w:rPr>
          <w:vertAlign w:val="superscript"/>
        </w:rPr>
        <w:t xml:space="preserve">11</w:t>
      </w:r>
      <w:r>
        <w:t xml:space="preserve">).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 Hence, the study was limited within 40-74 years Hispanic and non-Hispanic women with no report of cancer during the years 2000, 2005, 2010, and 2015. Exclusion of missing data points in 1 or more predictor variables yielded a final sample of 24,848 subjects.</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univariate relationship between the mammogram screening and each hypothesized predictors was assessed using logistic regression. Multiple logistic regression was also performed for determining the multivariate effect on mammogram screening. Model selection process was performed and the final model was selected based on ROC AUC (Area under the Receiver Operating Characteristic curve) value. The model evaluation was performed using 5-fold cross-validation process repeated for 5 times. All analysis were performed using R (version 4.2.1) and cross-validation was performed using the tidymodels package. The code and data for reproducing results are available on</w:t>
      </w:r>
      <w:r>
        <w:t xml:space="preserve"> </w:t>
      </w:r>
      <w:hyperlink r:id="rId22">
        <w:r>
          <w:rPr>
            <w:rStyle w:val="Hyperlink"/>
          </w:rPr>
          <w:t xml:space="preserve">Github</w:t>
        </w:r>
      </w:hyperlink>
      <w:r>
        <w:t xml:space="preserve">.</w:t>
      </w:r>
    </w:p>
    <w:bookmarkEnd w:id="23"/>
    <w:bookmarkStart w:id="35" w:name="results"/>
    <w:p>
      <w:pPr>
        <w:pStyle w:val="Heading1"/>
      </w:pPr>
      <w:r>
        <w:t xml:space="preserve">4. Results</w:t>
      </w:r>
    </w:p>
    <w:bookmarkStart w:id="27" w:name="exploratorydescriptive-analysis"/>
    <w:p>
      <w:pPr>
        <w:pStyle w:val="Heading2"/>
      </w:pPr>
      <w:r>
        <w:t xml:space="preserve">4.1 Exploratory/Descriptive analysis</w:t>
      </w:r>
    </w:p>
    <w:p>
      <w:pPr>
        <w:pStyle w:val="FirstParagraph"/>
      </w:pPr>
      <w:r>
        <w:t xml:space="preserve">Table 1 shows the demographic characteristics of the study population on the basis of mammogram screening status (Yes/No). Out of 24,848 subjects, there were 21,466 (86.4%) women doing mammogram screening while there were 3,382 (13.6%) women who did not do mammogram screening. Similarly, there were 21,056 (84.7%) non-Hispanic women and 3,792 (15.3%) Hispanic women. Larger proportion of women aged 40-44 years did not go for mammogram screening compared to other aged women. Similarly, women with education level of some college or associate degree had higher proportion of mammogram screening. Majority of our participants (58.7%) were never smokers. Out of 21,056 non-Hispanic women, 18,432 (87.6%) had mammogram screening while out of 3,792 Hispanic women, 3,034 (80%) had mammogram screening. Figure 1 shows increasing trend in mammogram screening among women going through 2000 to 2015.</w:t>
      </w:r>
    </w:p>
    <w:p>
      <w:pPr>
        <w:pStyle w:val="BodyText"/>
      </w:pPr>
      <w:r>
        <w:rPr>
          <w:bCs/>
          <w:b/>
        </w:rPr>
        <w:t xml:space="preserve">Table 1: Demographic characteristics of study population by mammogram screening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48"/>
        <w:gridCol w:w="1609"/>
        <w:gridCol w:w="1732"/>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p>
        </w:tc>
      </w:tr>
      <w:tr>
        <w:trPr>
          <w:trHeight w:val="60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3,382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21,466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hispanic_status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18,432 (86%)</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3,034 (14%)</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4,837 (23%)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4,924 (23%)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5,092 (24%)</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6,613 (31%)</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3,244 (15%)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3,852 (18%)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2,919 (14%)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2,380 (11%)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1,976 (9.2%)</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18,720 (87%)</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2,746 (13%)</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(0.4%)</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2,691 (13%)</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6,129 (29%)</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6,553 (31%)</w:t>
            </w:r>
          </w:p>
        </w:tc>
      </w:tr>
      <w:tr>
        <w:trPr>
          <w:trHeight w:val="6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6,013 (28%)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(9.8%)</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10,741 (50%)</w:t>
            </w:r>
          </w:p>
        </w:tc>
      </w:tr>
      <w:tr>
        <w:trPr>
          <w:trHeight w:val="62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7,933 (37%)</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 (3.2%)</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3,884 (18%)</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4,716 (22%)</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7,748 (36%)</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5,118 (24%)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19,425 (90%)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2,041 (9.5%)</w:t>
            </w:r>
          </w:p>
        </w:tc>
      </w:tr>
      <w:tr>
        <w:trPr>
          <w:trHeight w:val="59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17,806 (83%)</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3,660 (17%)</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1,327 (6.2%)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20,139 (94%)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12,608 (59%)</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3,729 (17%)</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5,129 (24%)</w:t>
            </w:r>
          </w:p>
        </w:tc>
      </w:tr>
      <w:tr>
        <w:trPr>
          <w:trHeight w:val="59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5,223 (24%)</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12,602 (59%)</w:t>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3,641 (17%)</w:t>
            </w:r>
          </w:p>
        </w:tc>
      </w:tr>
      <w:tr>
        <w:trPr>
          <w:trHeight w:val="616"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2,985 (14%)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drawing>
          <wp:inline>
            <wp:extent cx="5334000" cy="3809273"/>
            <wp:effectExtent b="0" l="0" r="0" t="0"/>
            <wp:docPr descr="" title="" id="25" name="Picture"/>
            <a:graphic>
              <a:graphicData uri="http://schemas.openxmlformats.org/drawingml/2006/picture">
                <pic:pic>
                  <pic:nvPicPr>
                    <pic:cNvPr descr="../../results/exploratory_analysis_result/figure1_mammogram_ses.png" id="26"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rPr>
          <w:bCs/>
          <w:b/>
        </w:rPr>
        <w:t xml:space="preserve">Figure 1: Summary of mammography screening status and the Hispanic status of study population in 2000, 2005, 2010, and 2015.</w:t>
      </w:r>
    </w:p>
    <w:bookmarkEnd w:id="27"/>
    <w:bookmarkStart w:id="34" w:name="statistical-analysis"/>
    <w:p>
      <w:pPr>
        <w:pStyle w:val="Heading2"/>
      </w:pPr>
      <w:r>
        <w:t xml:space="preserve">4.2 Statistical Analysis</w:t>
      </w:r>
    </w:p>
    <w:bookmarkStart w:id="28" w:name="model-fitting"/>
    <w:p>
      <w:pPr>
        <w:pStyle w:val="Heading3"/>
      </w:pPr>
      <w:r>
        <w:t xml:space="preserve">4.2.1 Model Fitting</w:t>
      </w:r>
    </w:p>
    <w:p>
      <w:pPr>
        <w:pStyle w:val="FirstParagraph"/>
      </w:pPr>
      <w:r>
        <w:t xml:space="preserve">We aimed to explore the bivariate and multivariate relationship between mammogram screening and other hypothesized predictors i.e., year, hispanic status, age, income, education, marital status, region of residence, insurance status, health status, usual medical care status, smoking status, alcohol status, and diabetes status. Logistic regression was used for examining such relationships. In bivariate relationship (Supplementary Tables 3-12), we found statistically significant relationship between mammogram screening and hispanic status of women and found the odds of having mammogram screening for Hispanic women as 0.57 compared to non-Hispanic women. The odds of having mammogram was found as 1.28 in year 2015 compared to that of 2000. We also found that the odds of having mammogram increased with age, and education. We found the odds of having mammogram screening for women with income below the poverty threshold as 0.47 compared to women with income at or above the poverty threshold. The odds of having mammogram for married women was 1.96 compared to never married women. Women having the usual medical place had the odds of having mammogram as 4.34 compared to those having no usual medical place. Similarly, Table 2 shows the multivariate relationship between mammogram screening and all other predictors of interests. All predictors of interests were found to be significant predictors of mammogram.</w:t>
      </w:r>
    </w:p>
    <w:p>
      <w:pPr>
        <w:pStyle w:val="BodyText"/>
      </w:pPr>
      <w:r>
        <w:t xml:space="preserve">Table 3 shows the model performance comparison which compared the models’ performance including various numbers of predictors. The best model performance was found for the full model including all predictors of interests as it had the lowest AIC value of 16981 and RMSE value of 0.32. Similarly, based on model performance comparison, second best model was identified as the model including demographic predictors (age, hispanic status, income, education, marital status, and region of residence) that had AIC of 17764.1 and RMSE of 0.33.</w:t>
      </w:r>
    </w:p>
    <w:p>
      <w:pPr>
        <w:pStyle w:val="BodyText"/>
      </w:pPr>
      <w:r>
        <w:rPr>
          <w:bCs/>
          <w:b/>
        </w:rPr>
        <w:t xml:space="preserve">Table 2: Full model fitting using mammogram_status as outcome variable and other variables as predictor variables.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term</w:t>
            </w:r>
          </w:p>
        </w:tc>
        <w:tc>
          <w:tcPr/>
          <w:p>
            <w:pPr>
              <w:pStyle w:val="Compact"/>
              <w:jc w:val="center"/>
            </w:pPr>
            <w:r>
              <w:t xml:space="preserve">odds ratio</w:t>
            </w:r>
          </w:p>
        </w:tc>
        <w:tc>
          <w:tcPr/>
          <w:p>
            <w:pPr>
              <w:pStyle w:val="Compact"/>
              <w:jc w:val="center"/>
            </w:pPr>
            <w:r>
              <w:t xml:space="preserve">p.value</w:t>
            </w:r>
          </w:p>
        </w:tc>
      </w:tr>
      <w:tr>
        <w:tc>
          <w:tcPr/>
          <w:p>
            <w:pPr>
              <w:pStyle w:val="Compact"/>
              <w:jc w:val="center"/>
            </w:pPr>
            <w:r>
              <w:t xml:space="preserve">(Intercept)</w:t>
            </w:r>
          </w:p>
        </w:tc>
        <w:tc>
          <w:tcPr/>
          <w:p>
            <w:pPr>
              <w:pStyle w:val="Compact"/>
              <w:jc w:val="center"/>
            </w:pPr>
            <w:r>
              <w:t xml:space="preserve">0.213</w:t>
            </w:r>
          </w:p>
        </w:tc>
        <w:tc>
          <w:tcPr/>
          <w:p>
            <w:pPr>
              <w:pStyle w:val="Compact"/>
              <w:jc w:val="center"/>
            </w:pPr>
            <w:r>
              <w:t xml:space="preserve">0.00e+00</w:t>
            </w:r>
          </w:p>
        </w:tc>
      </w:tr>
      <w:tr>
        <w:tc>
          <w:tcPr/>
          <w:p>
            <w:pPr>
              <w:pStyle w:val="Compact"/>
              <w:jc w:val="center"/>
            </w:pPr>
            <w:r>
              <w:t xml:space="preserve">(year)2005</w:t>
            </w:r>
          </w:p>
        </w:tc>
        <w:tc>
          <w:tcPr/>
          <w:p>
            <w:pPr>
              <w:pStyle w:val="Compact"/>
              <w:jc w:val="center"/>
            </w:pPr>
            <w:r>
              <w:t xml:space="preserve">0.979</w:t>
            </w:r>
          </w:p>
        </w:tc>
        <w:tc>
          <w:tcPr/>
          <w:p>
            <w:pPr>
              <w:pStyle w:val="Compact"/>
              <w:jc w:val="center"/>
            </w:pPr>
            <w:r>
              <w:t xml:space="preserve">7.01e-01</w:t>
            </w:r>
          </w:p>
        </w:tc>
      </w:tr>
      <w:tr>
        <w:tc>
          <w:tcPr/>
          <w:p>
            <w:pPr>
              <w:pStyle w:val="Compact"/>
              <w:jc w:val="center"/>
            </w:pPr>
            <w:r>
              <w:t xml:space="preserve">(year)2010</w:t>
            </w:r>
          </w:p>
        </w:tc>
        <w:tc>
          <w:tcPr/>
          <w:p>
            <w:pPr>
              <w:pStyle w:val="Compact"/>
              <w:jc w:val="center"/>
            </w:pPr>
            <w:r>
              <w:t xml:space="preserve">1.248</w:t>
            </w:r>
          </w:p>
        </w:tc>
        <w:tc>
          <w:tcPr/>
          <w:p>
            <w:pPr>
              <w:pStyle w:val="Compact"/>
              <w:jc w:val="center"/>
            </w:pPr>
            <w:r>
              <w:t xml:space="preserve">1.98e-04</w:t>
            </w:r>
          </w:p>
        </w:tc>
      </w:tr>
      <w:tr>
        <w:tc>
          <w:tcPr/>
          <w:p>
            <w:pPr>
              <w:pStyle w:val="Compact"/>
              <w:jc w:val="center"/>
            </w:pPr>
            <w:r>
              <w:t xml:space="preserve">(year)2015</w:t>
            </w:r>
          </w:p>
        </w:tc>
        <w:tc>
          <w:tcPr/>
          <w:p>
            <w:pPr>
              <w:pStyle w:val="Compact"/>
              <w:jc w:val="center"/>
            </w:pPr>
            <w:r>
              <w:t xml:space="preserve">0.940</w:t>
            </w:r>
          </w:p>
        </w:tc>
        <w:tc>
          <w:tcPr/>
          <w:p>
            <w:pPr>
              <w:pStyle w:val="Compact"/>
              <w:jc w:val="center"/>
            </w:pPr>
            <w:r>
              <w:t xml:space="preserve">2.65e-01</w:t>
            </w:r>
          </w:p>
        </w:tc>
      </w:tr>
      <w:tr>
        <w:tc>
          <w:tcPr/>
          <w:p>
            <w:pPr>
              <w:pStyle w:val="Compact"/>
              <w:jc w:val="center"/>
            </w:pPr>
            <w:r>
              <w:t xml:space="preserve">(age)45-49 years</w:t>
            </w:r>
          </w:p>
        </w:tc>
        <w:tc>
          <w:tcPr/>
          <w:p>
            <w:pPr>
              <w:pStyle w:val="Compact"/>
              <w:jc w:val="center"/>
            </w:pPr>
            <w:r>
              <w:t xml:space="preserve">2.850</w:t>
            </w:r>
          </w:p>
        </w:tc>
        <w:tc>
          <w:tcPr/>
          <w:p>
            <w:pPr>
              <w:pStyle w:val="Compact"/>
              <w:jc w:val="center"/>
            </w:pPr>
            <w:r>
              <w:t xml:space="preserve">0.00e+00</w:t>
            </w:r>
          </w:p>
        </w:tc>
      </w:tr>
      <w:tr>
        <w:tc>
          <w:tcPr/>
          <w:p>
            <w:pPr>
              <w:pStyle w:val="Compact"/>
              <w:jc w:val="center"/>
            </w:pPr>
            <w:r>
              <w:t xml:space="preserve">(age)50-54 years</w:t>
            </w:r>
          </w:p>
        </w:tc>
        <w:tc>
          <w:tcPr/>
          <w:p>
            <w:pPr>
              <w:pStyle w:val="Compact"/>
              <w:jc w:val="center"/>
            </w:pPr>
            <w:r>
              <w:t xml:space="preserve">4.372</w:t>
            </w:r>
          </w:p>
        </w:tc>
        <w:tc>
          <w:tcPr/>
          <w:p>
            <w:pPr>
              <w:pStyle w:val="Compact"/>
              <w:jc w:val="center"/>
            </w:pPr>
            <w:r>
              <w:t xml:space="preserve">0.00e+00</w:t>
            </w:r>
          </w:p>
        </w:tc>
      </w:tr>
      <w:tr>
        <w:tc>
          <w:tcPr/>
          <w:p>
            <w:pPr>
              <w:pStyle w:val="Compact"/>
              <w:jc w:val="center"/>
            </w:pPr>
            <w:r>
              <w:t xml:space="preserve">(age)55-59 years</w:t>
            </w:r>
          </w:p>
        </w:tc>
        <w:tc>
          <w:tcPr/>
          <w:p>
            <w:pPr>
              <w:pStyle w:val="Compact"/>
              <w:jc w:val="center"/>
            </w:pPr>
            <w:r>
              <w:t xml:space="preserve">5.149</w:t>
            </w:r>
          </w:p>
        </w:tc>
        <w:tc>
          <w:tcPr/>
          <w:p>
            <w:pPr>
              <w:pStyle w:val="Compact"/>
              <w:jc w:val="center"/>
            </w:pPr>
            <w:r>
              <w:t xml:space="preserve">0.00e+00</w:t>
            </w:r>
          </w:p>
        </w:tc>
      </w:tr>
      <w:tr>
        <w:tc>
          <w:tcPr/>
          <w:p>
            <w:pPr>
              <w:pStyle w:val="Compact"/>
              <w:jc w:val="center"/>
            </w:pPr>
            <w:r>
              <w:t xml:space="preserve">(age)60-64 years</w:t>
            </w:r>
          </w:p>
        </w:tc>
        <w:tc>
          <w:tcPr/>
          <w:p>
            <w:pPr>
              <w:pStyle w:val="Compact"/>
              <w:jc w:val="center"/>
            </w:pPr>
            <w:r>
              <w:t xml:space="preserve">5.900</w:t>
            </w:r>
          </w:p>
        </w:tc>
        <w:tc>
          <w:tcPr/>
          <w:p>
            <w:pPr>
              <w:pStyle w:val="Compact"/>
              <w:jc w:val="center"/>
            </w:pPr>
            <w:r>
              <w:t xml:space="preserve">0.00e+00</w:t>
            </w:r>
          </w:p>
        </w:tc>
      </w:tr>
      <w:tr>
        <w:tc>
          <w:tcPr/>
          <w:p>
            <w:pPr>
              <w:pStyle w:val="Compact"/>
              <w:jc w:val="center"/>
            </w:pPr>
            <w:r>
              <w:t xml:space="preserve">(age)65-69 years</w:t>
            </w:r>
          </w:p>
        </w:tc>
        <w:tc>
          <w:tcPr/>
          <w:p>
            <w:pPr>
              <w:pStyle w:val="Compact"/>
              <w:jc w:val="center"/>
            </w:pPr>
            <w:r>
              <w:t xml:space="preserve">4.586</w:t>
            </w:r>
          </w:p>
        </w:tc>
        <w:tc>
          <w:tcPr/>
          <w:p>
            <w:pPr>
              <w:pStyle w:val="Compact"/>
              <w:jc w:val="center"/>
            </w:pPr>
            <w:r>
              <w:t xml:space="preserve">0.00e+00</w:t>
            </w:r>
          </w:p>
        </w:tc>
      </w:tr>
      <w:tr>
        <w:tc>
          <w:tcPr/>
          <w:p>
            <w:pPr>
              <w:pStyle w:val="Compact"/>
              <w:jc w:val="center"/>
            </w:pPr>
            <w:r>
              <w:t xml:space="preserve">(age)70-74 years</w:t>
            </w:r>
          </w:p>
        </w:tc>
        <w:tc>
          <w:tcPr/>
          <w:p>
            <w:pPr>
              <w:pStyle w:val="Compact"/>
              <w:jc w:val="center"/>
            </w:pPr>
            <w:r>
              <w:t xml:space="preserve">4.472</w:t>
            </w:r>
          </w:p>
        </w:tc>
        <w:tc>
          <w:tcPr/>
          <w:p>
            <w:pPr>
              <w:pStyle w:val="Compact"/>
              <w:jc w:val="center"/>
            </w:pPr>
            <w:r>
              <w:t xml:space="preserve">0.00e+00</w:t>
            </w:r>
          </w:p>
        </w:tc>
      </w:tr>
      <w:tr>
        <w:tc>
          <w:tcPr/>
          <w:p>
            <w:pPr>
              <w:pStyle w:val="Compact"/>
              <w:jc w:val="center"/>
            </w:pPr>
            <w:r>
              <w:t xml:space="preserve">(hispanic_status)Hispanic</w:t>
            </w:r>
          </w:p>
        </w:tc>
        <w:tc>
          <w:tcPr/>
          <w:p>
            <w:pPr>
              <w:pStyle w:val="Compact"/>
              <w:jc w:val="center"/>
            </w:pPr>
            <w:r>
              <w:t xml:space="preserve">1.108</w:t>
            </w:r>
          </w:p>
        </w:tc>
        <w:tc>
          <w:tcPr/>
          <w:p>
            <w:pPr>
              <w:pStyle w:val="Compact"/>
              <w:jc w:val="center"/>
            </w:pPr>
            <w:r>
              <w:t xml:space="preserve">7.59e-02</w:t>
            </w:r>
          </w:p>
        </w:tc>
      </w:tr>
      <w:tr>
        <w:tc>
          <w:tcPr/>
          <w:p>
            <w:pPr>
              <w:pStyle w:val="Compact"/>
              <w:jc w:val="center"/>
            </w:pPr>
            <w:r>
              <w:t xml:space="preserve">(income)Below poverty threshold</w:t>
            </w:r>
          </w:p>
        </w:tc>
        <w:tc>
          <w:tcPr/>
          <w:p>
            <w:pPr>
              <w:pStyle w:val="Compact"/>
              <w:jc w:val="center"/>
            </w:pPr>
            <w:r>
              <w:t xml:space="preserve">0.762</w:t>
            </w:r>
          </w:p>
        </w:tc>
        <w:tc>
          <w:tcPr/>
          <w:p>
            <w:pPr>
              <w:pStyle w:val="Compact"/>
              <w:jc w:val="center"/>
            </w:pPr>
            <w:r>
              <w:t xml:space="preserve">9.00e-07</w:t>
            </w:r>
          </w:p>
        </w:tc>
      </w:tr>
      <w:tr>
        <w:tc>
          <w:tcPr/>
          <w:p>
            <w:pPr>
              <w:pStyle w:val="Compact"/>
              <w:jc w:val="center"/>
            </w:pPr>
            <w:r>
              <w:t xml:space="preserve">(education)Less than high school</w:t>
            </w:r>
          </w:p>
        </w:tc>
        <w:tc>
          <w:tcPr/>
          <w:p>
            <w:pPr>
              <w:pStyle w:val="Compact"/>
              <w:jc w:val="center"/>
            </w:pPr>
            <w:r>
              <w:t xml:space="preserve">2.149</w:t>
            </w:r>
          </w:p>
        </w:tc>
        <w:tc>
          <w:tcPr/>
          <w:p>
            <w:pPr>
              <w:pStyle w:val="Compact"/>
              <w:jc w:val="center"/>
            </w:pPr>
            <w:r>
              <w:t xml:space="preserve">2.21e-04</w:t>
            </w:r>
          </w:p>
        </w:tc>
      </w:tr>
      <w:tr>
        <w:tc>
          <w:tcPr/>
          <w:p>
            <w:pPr>
              <w:pStyle w:val="Compact"/>
              <w:jc w:val="center"/>
            </w:pPr>
            <w:r>
              <w:t xml:space="preserve">(education)High school</w:t>
            </w:r>
          </w:p>
        </w:tc>
        <w:tc>
          <w:tcPr/>
          <w:p>
            <w:pPr>
              <w:pStyle w:val="Compact"/>
              <w:jc w:val="center"/>
            </w:pPr>
            <w:r>
              <w:t xml:space="preserve">2.699</w:t>
            </w:r>
          </w:p>
        </w:tc>
        <w:tc>
          <w:tcPr/>
          <w:p>
            <w:pPr>
              <w:pStyle w:val="Compact"/>
              <w:jc w:val="center"/>
            </w:pPr>
            <w:r>
              <w:t xml:space="preserve">1.70e-06</w:t>
            </w:r>
          </w:p>
        </w:tc>
      </w:tr>
      <w:tr>
        <w:tc>
          <w:tcPr/>
          <w:p>
            <w:pPr>
              <w:pStyle w:val="Compact"/>
              <w:jc w:val="center"/>
            </w:pPr>
            <w:r>
              <w:t xml:space="preserve">(education)Some college or Associate degree</w:t>
            </w:r>
          </w:p>
        </w:tc>
        <w:tc>
          <w:tcPr/>
          <w:p>
            <w:pPr>
              <w:pStyle w:val="Compact"/>
              <w:jc w:val="center"/>
            </w:pPr>
            <w:r>
              <w:t xml:space="preserve">3.847</w:t>
            </w:r>
          </w:p>
        </w:tc>
        <w:tc>
          <w:tcPr/>
          <w:p>
            <w:pPr>
              <w:pStyle w:val="Compact"/>
              <w:jc w:val="center"/>
            </w:pPr>
            <w:r>
              <w:t xml:space="preserve">0.00e+00</w:t>
            </w:r>
          </w:p>
        </w:tc>
      </w:tr>
      <w:tr>
        <w:tc>
          <w:tcPr/>
          <w:p>
            <w:pPr>
              <w:pStyle w:val="Compact"/>
              <w:jc w:val="center"/>
            </w:pPr>
            <w:r>
              <w:t xml:space="preserve">(education)Bachelor degree and higher</w:t>
            </w:r>
          </w:p>
        </w:tc>
        <w:tc>
          <w:tcPr/>
          <w:p>
            <w:pPr>
              <w:pStyle w:val="Compact"/>
              <w:jc w:val="center"/>
            </w:pPr>
            <w:r>
              <w:t xml:space="preserve">4.344</w:t>
            </w:r>
          </w:p>
        </w:tc>
        <w:tc>
          <w:tcPr/>
          <w:p>
            <w:pPr>
              <w:pStyle w:val="Compact"/>
              <w:jc w:val="center"/>
            </w:pPr>
            <w:r>
              <w:t xml:space="preserve">0.00e+00</w:t>
            </w:r>
          </w:p>
        </w:tc>
      </w:tr>
      <w:tr>
        <w:tc>
          <w:tcPr/>
          <w:p>
            <w:pPr>
              <w:pStyle w:val="Compact"/>
              <w:jc w:val="center"/>
            </w:pPr>
            <w:r>
              <w:t xml:space="preserve">(marital_status)Married</w:t>
            </w:r>
          </w:p>
        </w:tc>
        <w:tc>
          <w:tcPr/>
          <w:p>
            <w:pPr>
              <w:pStyle w:val="Compact"/>
              <w:jc w:val="center"/>
            </w:pPr>
            <w:r>
              <w:t xml:space="preserve">1.623</w:t>
            </w:r>
          </w:p>
        </w:tc>
        <w:tc>
          <w:tcPr/>
          <w:p>
            <w:pPr>
              <w:pStyle w:val="Compact"/>
              <w:jc w:val="center"/>
            </w:pPr>
            <w:r>
              <w:t xml:space="preserve">0.00e+00</w:t>
            </w:r>
          </w:p>
        </w:tc>
      </w:tr>
      <w:tr>
        <w:tc>
          <w:tcPr/>
          <w:p>
            <w:pPr>
              <w:pStyle w:val="Compact"/>
              <w:jc w:val="center"/>
            </w:pPr>
            <w:r>
              <w:t xml:space="preserve">(marital_status)Single (separated/widowed/divorced)</w:t>
            </w:r>
          </w:p>
        </w:tc>
        <w:tc>
          <w:tcPr/>
          <w:p>
            <w:pPr>
              <w:pStyle w:val="Compact"/>
              <w:jc w:val="center"/>
            </w:pPr>
            <w:r>
              <w:t xml:space="preserve">1.436</w:t>
            </w:r>
          </w:p>
        </w:tc>
        <w:tc>
          <w:tcPr/>
          <w:p>
            <w:pPr>
              <w:pStyle w:val="Compact"/>
              <w:jc w:val="center"/>
            </w:pPr>
            <w:r>
              <w:t xml:space="preserve">0.00e+00</w:t>
            </w:r>
          </w:p>
        </w:tc>
      </w:tr>
      <w:tr>
        <w:tc>
          <w:tcPr/>
          <w:p>
            <w:pPr>
              <w:pStyle w:val="Compact"/>
              <w:jc w:val="center"/>
            </w:pPr>
            <w:r>
              <w:t xml:space="preserve">(marital_status)Living with partner</w:t>
            </w:r>
          </w:p>
        </w:tc>
        <w:tc>
          <w:tcPr/>
          <w:p>
            <w:pPr>
              <w:pStyle w:val="Compact"/>
              <w:jc w:val="center"/>
            </w:pPr>
            <w:r>
              <w:t xml:space="preserve">1.316</w:t>
            </w:r>
          </w:p>
        </w:tc>
        <w:tc>
          <w:tcPr/>
          <w:p>
            <w:pPr>
              <w:pStyle w:val="Compact"/>
              <w:jc w:val="center"/>
            </w:pPr>
            <w:r>
              <w:t xml:space="preserve">1.44e-02</w:t>
            </w:r>
          </w:p>
        </w:tc>
      </w:tr>
      <w:tr>
        <w:tc>
          <w:tcPr/>
          <w:p>
            <w:pPr>
              <w:pStyle w:val="Compact"/>
              <w:jc w:val="center"/>
            </w:pPr>
            <w:r>
              <w:t xml:space="preserve">(region_residence)North Central/Midwest</w:t>
            </w:r>
          </w:p>
        </w:tc>
        <w:tc>
          <w:tcPr/>
          <w:p>
            <w:pPr>
              <w:pStyle w:val="Compact"/>
              <w:jc w:val="center"/>
            </w:pPr>
            <w:r>
              <w:t xml:space="preserve">0.812</w:t>
            </w:r>
          </w:p>
        </w:tc>
        <w:tc>
          <w:tcPr/>
          <w:p>
            <w:pPr>
              <w:pStyle w:val="Compact"/>
              <w:jc w:val="center"/>
            </w:pPr>
            <w:r>
              <w:t xml:space="preserve">2.21e-03</w:t>
            </w:r>
          </w:p>
        </w:tc>
      </w:tr>
      <w:tr>
        <w:tc>
          <w:tcPr/>
          <w:p>
            <w:pPr>
              <w:pStyle w:val="Compact"/>
              <w:jc w:val="center"/>
            </w:pPr>
            <w:r>
              <w:t xml:space="preserve">(region_residence)South</w:t>
            </w:r>
          </w:p>
        </w:tc>
        <w:tc>
          <w:tcPr/>
          <w:p>
            <w:pPr>
              <w:pStyle w:val="Compact"/>
              <w:jc w:val="center"/>
            </w:pPr>
            <w:r>
              <w:t xml:space="preserve">0.835</w:t>
            </w:r>
          </w:p>
        </w:tc>
        <w:tc>
          <w:tcPr/>
          <w:p>
            <w:pPr>
              <w:pStyle w:val="Compact"/>
              <w:jc w:val="center"/>
            </w:pPr>
            <w:r>
              <w:t xml:space="preserve">3.23e-03</w:t>
            </w:r>
          </w:p>
        </w:tc>
      </w:tr>
      <w:tr>
        <w:tc>
          <w:tcPr/>
          <w:p>
            <w:pPr>
              <w:pStyle w:val="Compact"/>
              <w:jc w:val="center"/>
            </w:pPr>
            <w:r>
              <w:t xml:space="preserve">(region_residence)West</w:t>
            </w:r>
          </w:p>
        </w:tc>
        <w:tc>
          <w:tcPr/>
          <w:p>
            <w:pPr>
              <w:pStyle w:val="Compact"/>
              <w:jc w:val="center"/>
            </w:pPr>
            <w:r>
              <w:t xml:space="preserve">0.774</w:t>
            </w:r>
          </w:p>
        </w:tc>
        <w:tc>
          <w:tcPr/>
          <w:p>
            <w:pPr>
              <w:pStyle w:val="Compact"/>
              <w:jc w:val="center"/>
            </w:pPr>
            <w:r>
              <w:t xml:space="preserve">1.06e-04</w:t>
            </w:r>
          </w:p>
        </w:tc>
      </w:tr>
      <w:tr>
        <w:tc>
          <w:tcPr/>
          <w:p>
            <w:pPr>
              <w:pStyle w:val="Compact"/>
              <w:jc w:val="center"/>
            </w:pPr>
            <w:r>
              <w:t xml:space="preserve">(insurance_status)Coverage</w:t>
            </w:r>
          </w:p>
        </w:tc>
        <w:tc>
          <w:tcPr/>
          <w:p>
            <w:pPr>
              <w:pStyle w:val="Compact"/>
              <w:jc w:val="center"/>
            </w:pPr>
            <w:r>
              <w:t xml:space="preserve">0.494</w:t>
            </w:r>
          </w:p>
        </w:tc>
        <w:tc>
          <w:tcPr/>
          <w:p>
            <w:pPr>
              <w:pStyle w:val="Compact"/>
              <w:jc w:val="center"/>
            </w:pPr>
            <w:r>
              <w:t xml:space="preserve">0.00e+00</w:t>
            </w:r>
          </w:p>
        </w:tc>
      </w:tr>
      <w:tr>
        <w:tc>
          <w:tcPr/>
          <w:p>
            <w:pPr>
              <w:pStyle w:val="Compact"/>
              <w:jc w:val="center"/>
            </w:pPr>
            <w:r>
              <w:t xml:space="preserve">(health_status)Fair/poor</w:t>
            </w:r>
          </w:p>
        </w:tc>
        <w:tc>
          <w:tcPr/>
          <w:p>
            <w:pPr>
              <w:pStyle w:val="Compact"/>
              <w:jc w:val="center"/>
            </w:pPr>
            <w:r>
              <w:t xml:space="preserve">1.111</w:t>
            </w:r>
          </w:p>
        </w:tc>
        <w:tc>
          <w:tcPr/>
          <w:p>
            <w:pPr>
              <w:pStyle w:val="Compact"/>
              <w:jc w:val="center"/>
            </w:pPr>
            <w:r>
              <w:t xml:space="preserve">6.80e-02</w:t>
            </w:r>
          </w:p>
        </w:tc>
      </w:tr>
      <w:tr>
        <w:tc>
          <w:tcPr/>
          <w:p>
            <w:pPr>
              <w:pStyle w:val="Compact"/>
              <w:jc w:val="center"/>
            </w:pPr>
            <w:r>
              <w:t xml:space="preserve">(usual_medicalcare_status)Usual place</w:t>
            </w:r>
          </w:p>
        </w:tc>
        <w:tc>
          <w:tcPr/>
          <w:p>
            <w:pPr>
              <w:pStyle w:val="Compact"/>
              <w:jc w:val="center"/>
            </w:pPr>
            <w:r>
              <w:t xml:space="preserve">2.475</w:t>
            </w:r>
          </w:p>
        </w:tc>
        <w:tc>
          <w:tcPr/>
          <w:p>
            <w:pPr>
              <w:pStyle w:val="Compact"/>
              <w:jc w:val="center"/>
            </w:pPr>
            <w:r>
              <w:t xml:space="preserve">0.00e+00</w:t>
            </w:r>
          </w:p>
        </w:tc>
      </w:tr>
      <w:tr>
        <w:tc>
          <w:tcPr/>
          <w:p>
            <w:pPr>
              <w:pStyle w:val="Compact"/>
              <w:jc w:val="center"/>
            </w:pPr>
            <w:r>
              <w:t xml:space="preserve">(smoking_status)Current</w:t>
            </w:r>
          </w:p>
        </w:tc>
        <w:tc>
          <w:tcPr/>
          <w:p>
            <w:pPr>
              <w:pStyle w:val="Compact"/>
              <w:jc w:val="center"/>
            </w:pPr>
            <w:r>
              <w:t xml:space="preserve">0.709</w:t>
            </w:r>
          </w:p>
        </w:tc>
        <w:tc>
          <w:tcPr/>
          <w:p>
            <w:pPr>
              <w:pStyle w:val="Compact"/>
              <w:jc w:val="center"/>
            </w:pPr>
            <w:r>
              <w:t xml:space="preserve">0.00e+00</w:t>
            </w:r>
          </w:p>
        </w:tc>
      </w:tr>
      <w:tr>
        <w:tc>
          <w:tcPr/>
          <w:p>
            <w:pPr>
              <w:pStyle w:val="Compact"/>
              <w:jc w:val="center"/>
            </w:pPr>
            <w:r>
              <w:t xml:space="preserve">(smoking_status)Former</w:t>
            </w:r>
          </w:p>
        </w:tc>
        <w:tc>
          <w:tcPr/>
          <w:p>
            <w:pPr>
              <w:pStyle w:val="Compact"/>
              <w:jc w:val="center"/>
            </w:pPr>
            <w:r>
              <w:t xml:space="preserve">1.124</w:t>
            </w:r>
          </w:p>
        </w:tc>
        <w:tc>
          <w:tcPr/>
          <w:p>
            <w:pPr>
              <w:pStyle w:val="Compact"/>
              <w:jc w:val="center"/>
            </w:pPr>
            <w:r>
              <w:t xml:space="preserve">4.12e-02</w:t>
            </w:r>
          </w:p>
        </w:tc>
      </w:tr>
      <w:tr>
        <w:tc>
          <w:tcPr/>
          <w:p>
            <w:pPr>
              <w:pStyle w:val="Compact"/>
              <w:jc w:val="center"/>
            </w:pPr>
            <w:r>
              <w:t xml:space="preserve">(alcohol_status)Current</w:t>
            </w:r>
          </w:p>
        </w:tc>
        <w:tc>
          <w:tcPr/>
          <w:p>
            <w:pPr>
              <w:pStyle w:val="Compact"/>
              <w:jc w:val="center"/>
            </w:pPr>
            <w:r>
              <w:t xml:space="preserve">1.678</w:t>
            </w:r>
          </w:p>
        </w:tc>
        <w:tc>
          <w:tcPr/>
          <w:p>
            <w:pPr>
              <w:pStyle w:val="Compact"/>
              <w:jc w:val="center"/>
            </w:pPr>
            <w:r>
              <w:t xml:space="preserve">0.00e+00</w:t>
            </w:r>
          </w:p>
        </w:tc>
      </w:tr>
      <w:tr>
        <w:tc>
          <w:tcPr/>
          <w:p>
            <w:pPr>
              <w:pStyle w:val="Compact"/>
              <w:jc w:val="center"/>
            </w:pPr>
            <w:r>
              <w:t xml:space="preserve">(alcohol_status)Former</w:t>
            </w:r>
          </w:p>
        </w:tc>
        <w:tc>
          <w:tcPr/>
          <w:p>
            <w:pPr>
              <w:pStyle w:val="Compact"/>
              <w:jc w:val="center"/>
            </w:pPr>
            <w:r>
              <w:t xml:space="preserve">1.469</w:t>
            </w:r>
          </w:p>
        </w:tc>
        <w:tc>
          <w:tcPr/>
          <w:p>
            <w:pPr>
              <w:pStyle w:val="Compact"/>
              <w:jc w:val="center"/>
            </w:pPr>
            <w:r>
              <w:t xml:space="preserve">0.00e+00</w:t>
            </w:r>
          </w:p>
        </w:tc>
      </w:tr>
      <w:tr>
        <w:tc>
          <w:tcPr/>
          <w:p>
            <w:pPr>
              <w:pStyle w:val="Compact"/>
              <w:jc w:val="center"/>
            </w:pPr>
            <w:r>
              <w:t xml:space="preserve">(diabetes_status)Yes</w:t>
            </w:r>
          </w:p>
        </w:tc>
        <w:tc>
          <w:tcPr/>
          <w:p>
            <w:pPr>
              <w:pStyle w:val="Compact"/>
              <w:jc w:val="center"/>
            </w:pPr>
            <w:r>
              <w:t xml:space="preserve">1.189</w:t>
            </w:r>
          </w:p>
        </w:tc>
        <w:tc>
          <w:tcPr/>
          <w:p>
            <w:pPr>
              <w:pStyle w:val="Compact"/>
              <w:jc w:val="center"/>
            </w:pPr>
            <w:r>
              <w:t xml:space="preserve">1.07e-02</w:t>
            </w:r>
          </w:p>
        </w:tc>
      </w:tr>
    </w:tbl>
    <w:p>
      <w:pPr>
        <w:pStyle w:val="BodyText"/>
      </w:pPr>
      <w:r>
        <w:rPr>
          <w:bCs/>
          <w:b/>
        </w:rPr>
        <w:t xml:space="preserve">Table 3: Model Performance Comparisons.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RMSE</w:t>
            </w:r>
          </w:p>
        </w:tc>
      </w:tr>
      <w:tr>
        <w:tc>
          <w:tcPr/>
          <w:p>
            <w:pPr>
              <w:pStyle w:val="Compact"/>
              <w:jc w:val="center"/>
            </w:pPr>
            <w:r>
              <w:t xml:space="preserve">log_fit_year</w:t>
            </w:r>
          </w:p>
        </w:tc>
        <w:tc>
          <w:tcPr/>
          <w:p>
            <w:pPr>
              <w:pStyle w:val="Compact"/>
              <w:jc w:val="center"/>
            </w:pPr>
            <w:r>
              <w:t xml:space="preserve">19738</w:t>
            </w:r>
          </w:p>
        </w:tc>
        <w:tc>
          <w:tcPr/>
          <w:p>
            <w:pPr>
              <w:pStyle w:val="Compact"/>
              <w:jc w:val="center"/>
            </w:pPr>
            <w:r>
              <w:t xml:space="preserve">19771</w:t>
            </w:r>
          </w:p>
        </w:tc>
        <w:tc>
          <w:tcPr/>
          <w:p>
            <w:pPr>
              <w:pStyle w:val="Compact"/>
              <w:jc w:val="center"/>
            </w:pPr>
            <w:r>
              <w:t xml:space="preserve">0.343</w:t>
            </w:r>
          </w:p>
        </w:tc>
      </w:tr>
      <w:tr>
        <w:tc>
          <w:tcPr/>
          <w:p>
            <w:pPr>
              <w:pStyle w:val="Compact"/>
              <w:jc w:val="center"/>
            </w:pPr>
            <w:r>
              <w:t xml:space="preserve">log_fit_hispanicstatus</w:t>
            </w:r>
          </w:p>
        </w:tc>
        <w:tc>
          <w:tcPr/>
          <w:p>
            <w:pPr>
              <w:pStyle w:val="Compact"/>
              <w:jc w:val="center"/>
            </w:pPr>
            <w:r>
              <w:t xml:space="preserve">19633</w:t>
            </w:r>
          </w:p>
        </w:tc>
        <w:tc>
          <w:tcPr/>
          <w:p>
            <w:pPr>
              <w:pStyle w:val="Compact"/>
              <w:jc w:val="center"/>
            </w:pPr>
            <w:r>
              <w:t xml:space="preserve">19650</w:t>
            </w:r>
          </w:p>
        </w:tc>
        <w:tc>
          <w:tcPr/>
          <w:p>
            <w:pPr>
              <w:pStyle w:val="Compact"/>
              <w:jc w:val="center"/>
            </w:pPr>
            <w:r>
              <w:t xml:space="preserve">0.342</w:t>
            </w:r>
          </w:p>
        </w:tc>
      </w:tr>
      <w:tr>
        <w:tc>
          <w:tcPr/>
          <w:p>
            <w:pPr>
              <w:pStyle w:val="Compact"/>
              <w:jc w:val="center"/>
            </w:pPr>
            <w:r>
              <w:t xml:space="preserve">log_fit_age</w:t>
            </w:r>
          </w:p>
        </w:tc>
        <w:tc>
          <w:tcPr/>
          <w:p>
            <w:pPr>
              <w:pStyle w:val="Compact"/>
              <w:jc w:val="center"/>
            </w:pPr>
            <w:r>
              <w:t xml:space="preserve">18481</w:t>
            </w:r>
          </w:p>
        </w:tc>
        <w:tc>
          <w:tcPr/>
          <w:p>
            <w:pPr>
              <w:pStyle w:val="Compact"/>
              <w:jc w:val="center"/>
            </w:pPr>
            <w:r>
              <w:t xml:space="preserve">18538</w:t>
            </w:r>
          </w:p>
        </w:tc>
        <w:tc>
          <w:tcPr/>
          <w:p>
            <w:pPr>
              <w:pStyle w:val="Compact"/>
              <w:jc w:val="center"/>
            </w:pPr>
            <w:r>
              <w:t xml:space="preserve">0.332</w:t>
            </w:r>
          </w:p>
        </w:tc>
      </w:tr>
      <w:tr>
        <w:tc>
          <w:tcPr/>
          <w:p>
            <w:pPr>
              <w:pStyle w:val="Compact"/>
              <w:jc w:val="center"/>
            </w:pPr>
            <w:r>
              <w:t xml:space="preserve">log_fit_income</w:t>
            </w:r>
          </w:p>
        </w:tc>
        <w:tc>
          <w:tcPr/>
          <w:p>
            <w:pPr>
              <w:pStyle w:val="Compact"/>
              <w:jc w:val="center"/>
            </w:pPr>
            <w:r>
              <w:t xml:space="preserve">19517</w:t>
            </w:r>
          </w:p>
        </w:tc>
        <w:tc>
          <w:tcPr/>
          <w:p>
            <w:pPr>
              <w:pStyle w:val="Compact"/>
              <w:jc w:val="center"/>
            </w:pPr>
            <w:r>
              <w:t xml:space="preserve">19533</w:t>
            </w:r>
          </w:p>
        </w:tc>
        <w:tc>
          <w:tcPr/>
          <w:p>
            <w:pPr>
              <w:pStyle w:val="Compact"/>
              <w:jc w:val="center"/>
            </w:pPr>
            <w:r>
              <w:t xml:space="preserve">0.341</w:t>
            </w:r>
          </w:p>
        </w:tc>
      </w:tr>
      <w:tr>
        <w:tc>
          <w:tcPr/>
          <w:p>
            <w:pPr>
              <w:pStyle w:val="Compact"/>
              <w:jc w:val="center"/>
            </w:pPr>
            <w:r>
              <w:t xml:space="preserve">log_fit_education</w:t>
            </w:r>
          </w:p>
        </w:tc>
        <w:tc>
          <w:tcPr/>
          <w:p>
            <w:pPr>
              <w:pStyle w:val="Compact"/>
              <w:jc w:val="center"/>
            </w:pPr>
            <w:r>
              <w:t xml:space="preserve">19424</w:t>
            </w:r>
          </w:p>
        </w:tc>
        <w:tc>
          <w:tcPr/>
          <w:p>
            <w:pPr>
              <w:pStyle w:val="Compact"/>
              <w:jc w:val="center"/>
            </w:pPr>
            <w:r>
              <w:t xml:space="preserve">19465</w:t>
            </w:r>
          </w:p>
        </w:tc>
        <w:tc>
          <w:tcPr/>
          <w:p>
            <w:pPr>
              <w:pStyle w:val="Compact"/>
              <w:jc w:val="center"/>
            </w:pPr>
            <w:r>
              <w:t xml:space="preserve">0.340</w:t>
            </w:r>
          </w:p>
        </w:tc>
      </w:tr>
      <w:tr>
        <w:tc>
          <w:tcPr/>
          <w:p>
            <w:pPr>
              <w:pStyle w:val="Compact"/>
              <w:jc w:val="center"/>
            </w:pPr>
            <w:r>
              <w:t xml:space="preserve">log_fit_maritalstatus</w:t>
            </w:r>
          </w:p>
        </w:tc>
        <w:tc>
          <w:tcPr/>
          <w:p>
            <w:pPr>
              <w:pStyle w:val="Compact"/>
              <w:jc w:val="center"/>
            </w:pPr>
            <w:r>
              <w:t xml:space="preserve">19617</w:t>
            </w:r>
          </w:p>
        </w:tc>
        <w:tc>
          <w:tcPr/>
          <w:p>
            <w:pPr>
              <w:pStyle w:val="Compact"/>
              <w:jc w:val="center"/>
            </w:pPr>
            <w:r>
              <w:t xml:space="preserve">19649</w:t>
            </w:r>
          </w:p>
        </w:tc>
        <w:tc>
          <w:tcPr/>
          <w:p>
            <w:pPr>
              <w:pStyle w:val="Compact"/>
              <w:jc w:val="center"/>
            </w:pPr>
            <w:r>
              <w:t xml:space="preserve">0.342</w:t>
            </w:r>
          </w:p>
        </w:tc>
      </w:tr>
      <w:tr>
        <w:tc>
          <w:tcPr/>
          <w:p>
            <w:pPr>
              <w:pStyle w:val="Compact"/>
              <w:jc w:val="center"/>
            </w:pPr>
            <w:r>
              <w:t xml:space="preserve">log_fit_regionresidence</w:t>
            </w:r>
          </w:p>
        </w:tc>
        <w:tc>
          <w:tcPr/>
          <w:p>
            <w:pPr>
              <w:pStyle w:val="Compact"/>
              <w:jc w:val="center"/>
            </w:pPr>
            <w:r>
              <w:t xml:space="preserve">19729</w:t>
            </w:r>
          </w:p>
        </w:tc>
        <w:tc>
          <w:tcPr/>
          <w:p>
            <w:pPr>
              <w:pStyle w:val="Compact"/>
              <w:jc w:val="center"/>
            </w:pPr>
            <w:r>
              <w:t xml:space="preserve">19761</w:t>
            </w:r>
          </w:p>
        </w:tc>
        <w:tc>
          <w:tcPr/>
          <w:p>
            <w:pPr>
              <w:pStyle w:val="Compact"/>
              <w:jc w:val="center"/>
            </w:pPr>
            <w:r>
              <w:t xml:space="preserve">0.343</w:t>
            </w:r>
          </w:p>
        </w:tc>
      </w:tr>
      <w:tr>
        <w:tc>
          <w:tcPr/>
          <w:p>
            <w:pPr>
              <w:pStyle w:val="Compact"/>
              <w:jc w:val="center"/>
            </w:pPr>
            <w:r>
              <w:t xml:space="preserve">log_fit_insurancestatus</w:t>
            </w:r>
          </w:p>
        </w:tc>
        <w:tc>
          <w:tcPr/>
          <w:p>
            <w:pPr>
              <w:pStyle w:val="Compact"/>
              <w:jc w:val="center"/>
            </w:pPr>
            <w:r>
              <w:t xml:space="preserve">18957</w:t>
            </w:r>
          </w:p>
        </w:tc>
        <w:tc>
          <w:tcPr/>
          <w:p>
            <w:pPr>
              <w:pStyle w:val="Compact"/>
              <w:jc w:val="center"/>
            </w:pPr>
            <w:r>
              <w:t xml:space="preserve">18974</w:t>
            </w:r>
          </w:p>
        </w:tc>
        <w:tc>
          <w:tcPr/>
          <w:p>
            <w:pPr>
              <w:pStyle w:val="Compact"/>
              <w:jc w:val="center"/>
            </w:pPr>
            <w:r>
              <w:t xml:space="preserve">0.336</w:t>
            </w:r>
          </w:p>
        </w:tc>
      </w:tr>
      <w:tr>
        <w:tc>
          <w:tcPr/>
          <w:p>
            <w:pPr>
              <w:pStyle w:val="Compact"/>
              <w:jc w:val="center"/>
            </w:pPr>
            <w:r>
              <w:t xml:space="preserve">log_fit_healthstatus</w:t>
            </w:r>
          </w:p>
        </w:tc>
        <w:tc>
          <w:tcPr/>
          <w:p>
            <w:pPr>
              <w:pStyle w:val="Compact"/>
              <w:jc w:val="center"/>
            </w:pPr>
            <w:r>
              <w:t xml:space="preserve">19774</w:t>
            </w:r>
          </w:p>
        </w:tc>
        <w:tc>
          <w:tcPr/>
          <w:p>
            <w:pPr>
              <w:pStyle w:val="Compact"/>
              <w:jc w:val="center"/>
            </w:pPr>
            <w:r>
              <w:t xml:space="preserve">19790</w:t>
            </w:r>
          </w:p>
        </w:tc>
        <w:tc>
          <w:tcPr/>
          <w:p>
            <w:pPr>
              <w:pStyle w:val="Compact"/>
              <w:jc w:val="center"/>
            </w:pPr>
            <w:r>
              <w:t xml:space="preserve">0.343</w:t>
            </w:r>
          </w:p>
        </w:tc>
      </w:tr>
      <w:tr>
        <w:tc>
          <w:tcPr/>
          <w:p>
            <w:pPr>
              <w:pStyle w:val="Compact"/>
              <w:jc w:val="center"/>
            </w:pPr>
            <w:r>
              <w:t xml:space="preserve">log_fit_usualmedicalcarestatus</w:t>
            </w:r>
          </w:p>
        </w:tc>
        <w:tc>
          <w:tcPr/>
          <w:p>
            <w:pPr>
              <w:pStyle w:val="Compact"/>
              <w:jc w:val="center"/>
            </w:pPr>
            <w:r>
              <w:t xml:space="preserve">19022</w:t>
            </w:r>
          </w:p>
        </w:tc>
        <w:tc>
          <w:tcPr/>
          <w:p>
            <w:pPr>
              <w:pStyle w:val="Compact"/>
              <w:jc w:val="center"/>
            </w:pPr>
            <w:r>
              <w:t xml:space="preserve">19038</w:t>
            </w:r>
          </w:p>
        </w:tc>
        <w:tc>
          <w:tcPr/>
          <w:p>
            <w:pPr>
              <w:pStyle w:val="Compact"/>
              <w:jc w:val="center"/>
            </w:pPr>
            <w:r>
              <w:t xml:space="preserve">0.336</w:t>
            </w:r>
          </w:p>
        </w:tc>
      </w:tr>
      <w:tr>
        <w:tc>
          <w:tcPr/>
          <w:p>
            <w:pPr>
              <w:pStyle w:val="Compact"/>
              <w:jc w:val="center"/>
            </w:pPr>
            <w:r>
              <w:t xml:space="preserve">log_fit_smokingstatus</w:t>
            </w:r>
          </w:p>
        </w:tc>
        <w:tc>
          <w:tcPr/>
          <w:p>
            <w:pPr>
              <w:pStyle w:val="Compact"/>
              <w:jc w:val="center"/>
            </w:pPr>
            <w:r>
              <w:t xml:space="preserve">19549</w:t>
            </w:r>
          </w:p>
        </w:tc>
        <w:tc>
          <w:tcPr/>
          <w:p>
            <w:pPr>
              <w:pStyle w:val="Compact"/>
              <w:jc w:val="center"/>
            </w:pPr>
            <w:r>
              <w:t xml:space="preserve">19573</w:t>
            </w:r>
          </w:p>
        </w:tc>
        <w:tc>
          <w:tcPr/>
          <w:p>
            <w:pPr>
              <w:pStyle w:val="Compact"/>
              <w:jc w:val="center"/>
            </w:pPr>
            <w:r>
              <w:t xml:space="preserve">0.341</w:t>
            </w:r>
          </w:p>
        </w:tc>
      </w:tr>
      <w:tr>
        <w:tc>
          <w:tcPr/>
          <w:p>
            <w:pPr>
              <w:pStyle w:val="Compact"/>
              <w:jc w:val="center"/>
            </w:pPr>
            <w:r>
              <w:t xml:space="preserve">log_fit_alcoholstatus</w:t>
            </w:r>
          </w:p>
        </w:tc>
        <w:tc>
          <w:tcPr/>
          <w:p>
            <w:pPr>
              <w:pStyle w:val="Compact"/>
              <w:jc w:val="center"/>
            </w:pPr>
            <w:r>
              <w:t xml:space="preserve">19610</w:t>
            </w:r>
          </w:p>
        </w:tc>
        <w:tc>
          <w:tcPr/>
          <w:p>
            <w:pPr>
              <w:pStyle w:val="Compact"/>
              <w:jc w:val="center"/>
            </w:pPr>
            <w:r>
              <w:t xml:space="preserve">19635</w:t>
            </w:r>
          </w:p>
        </w:tc>
        <w:tc>
          <w:tcPr/>
          <w:p>
            <w:pPr>
              <w:pStyle w:val="Compact"/>
              <w:jc w:val="center"/>
            </w:pPr>
            <w:r>
              <w:t xml:space="preserve">0.342</w:t>
            </w:r>
          </w:p>
        </w:tc>
      </w:tr>
      <w:tr>
        <w:tc>
          <w:tcPr/>
          <w:p>
            <w:pPr>
              <w:pStyle w:val="Compact"/>
              <w:jc w:val="center"/>
            </w:pPr>
            <w:r>
              <w:t xml:space="preserve">log_fit_diabetesstatus</w:t>
            </w:r>
          </w:p>
        </w:tc>
        <w:tc>
          <w:tcPr/>
          <w:p>
            <w:pPr>
              <w:pStyle w:val="Compact"/>
              <w:jc w:val="center"/>
            </w:pPr>
            <w:r>
              <w:t xml:space="preserve">19732</w:t>
            </w:r>
          </w:p>
        </w:tc>
        <w:tc>
          <w:tcPr/>
          <w:p>
            <w:pPr>
              <w:pStyle w:val="Compact"/>
              <w:jc w:val="center"/>
            </w:pPr>
            <w:r>
              <w:t xml:space="preserve">19748</w:t>
            </w:r>
          </w:p>
        </w:tc>
        <w:tc>
          <w:tcPr/>
          <w:p>
            <w:pPr>
              <w:pStyle w:val="Compact"/>
              <w:jc w:val="center"/>
            </w:pPr>
            <w:r>
              <w:t xml:space="preserve">0.343</w:t>
            </w:r>
          </w:p>
        </w:tc>
      </w:tr>
      <w:tr>
        <w:tc>
          <w:tcPr/>
          <w:p>
            <w:pPr>
              <w:pStyle w:val="Compact"/>
              <w:jc w:val="center"/>
            </w:pPr>
            <w:r>
              <w:t xml:space="preserve">log_fit_fullmodel</w:t>
            </w:r>
          </w:p>
        </w:tc>
        <w:tc>
          <w:tcPr/>
          <w:p>
            <w:pPr>
              <w:pStyle w:val="Compact"/>
              <w:jc w:val="center"/>
            </w:pPr>
            <w:r>
              <w:t xml:space="preserve">16981</w:t>
            </w:r>
          </w:p>
        </w:tc>
        <w:tc>
          <w:tcPr/>
          <w:p>
            <w:pPr>
              <w:pStyle w:val="Compact"/>
              <w:jc w:val="center"/>
            </w:pPr>
            <w:r>
              <w:t xml:space="preserve">17225</w:t>
            </w:r>
          </w:p>
        </w:tc>
        <w:tc>
          <w:tcPr/>
          <w:p>
            <w:pPr>
              <w:pStyle w:val="Compact"/>
              <w:jc w:val="center"/>
            </w:pPr>
            <w:r>
              <w:t xml:space="preserve">0.320</w:t>
            </w:r>
          </w:p>
        </w:tc>
      </w:tr>
      <w:tr>
        <w:tc>
          <w:tcPr/>
          <w:p>
            <w:pPr>
              <w:pStyle w:val="Compact"/>
              <w:jc w:val="center"/>
            </w:pPr>
            <w:r>
              <w:t xml:space="preserve">log_fit_year_age_hispanic</w:t>
            </w:r>
          </w:p>
        </w:tc>
        <w:tc>
          <w:tcPr/>
          <w:p>
            <w:pPr>
              <w:pStyle w:val="Compact"/>
              <w:jc w:val="center"/>
            </w:pPr>
            <w:r>
              <w:t xml:space="preserve">18385</w:t>
            </w:r>
          </w:p>
        </w:tc>
        <w:tc>
          <w:tcPr/>
          <w:p>
            <w:pPr>
              <w:pStyle w:val="Compact"/>
              <w:jc w:val="center"/>
            </w:pPr>
            <w:r>
              <w:t xml:space="preserve">18474</w:t>
            </w:r>
          </w:p>
        </w:tc>
        <w:tc>
          <w:tcPr/>
          <w:p>
            <w:pPr>
              <w:pStyle w:val="Compact"/>
              <w:jc w:val="center"/>
            </w:pPr>
            <w:r>
              <w:t xml:space="preserve">0.332</w:t>
            </w:r>
          </w:p>
        </w:tc>
      </w:tr>
      <w:tr>
        <w:tc>
          <w:tcPr/>
          <w:p>
            <w:pPr>
              <w:pStyle w:val="Compact"/>
              <w:jc w:val="center"/>
            </w:pPr>
            <w:r>
              <w:t xml:space="preserve">log_fit_demographic</w:t>
            </w:r>
          </w:p>
        </w:tc>
        <w:tc>
          <w:tcPr/>
          <w:p>
            <w:pPr>
              <w:pStyle w:val="Compact"/>
              <w:jc w:val="center"/>
            </w:pPr>
            <w:r>
              <w:t xml:space="preserve">17764</w:t>
            </w:r>
          </w:p>
        </w:tc>
        <w:tc>
          <w:tcPr/>
          <w:p>
            <w:pPr>
              <w:pStyle w:val="Compact"/>
              <w:jc w:val="center"/>
            </w:pPr>
            <w:r>
              <w:t xml:space="preserve">17918</w:t>
            </w:r>
          </w:p>
        </w:tc>
        <w:tc>
          <w:tcPr/>
          <w:p>
            <w:pPr>
              <w:pStyle w:val="Compact"/>
              <w:jc w:val="center"/>
            </w:pPr>
            <w:r>
              <w:t xml:space="preserve">0.327</w:t>
            </w:r>
          </w:p>
        </w:tc>
      </w:tr>
      <w:tr>
        <w:tc>
          <w:tcPr/>
          <w:p>
            <w:pPr>
              <w:pStyle w:val="Compact"/>
              <w:jc w:val="center"/>
            </w:pPr>
            <w:r>
              <w:t xml:space="preserve">log_fit_medical</w:t>
            </w:r>
          </w:p>
        </w:tc>
        <w:tc>
          <w:tcPr/>
          <w:p>
            <w:pPr>
              <w:pStyle w:val="Compact"/>
              <w:jc w:val="center"/>
            </w:pPr>
            <w:r>
              <w:t xml:space="preserve">18639</w:t>
            </w:r>
          </w:p>
        </w:tc>
        <w:tc>
          <w:tcPr/>
          <w:p>
            <w:pPr>
              <w:pStyle w:val="Compact"/>
              <w:jc w:val="center"/>
            </w:pPr>
            <w:r>
              <w:t xml:space="preserve">18680</w:t>
            </w:r>
          </w:p>
        </w:tc>
        <w:tc>
          <w:tcPr/>
          <w:p>
            <w:pPr>
              <w:pStyle w:val="Compact"/>
              <w:jc w:val="center"/>
            </w:pPr>
            <w:r>
              <w:t xml:space="preserve">0.333</w:t>
            </w:r>
          </w:p>
        </w:tc>
      </w:tr>
      <w:tr>
        <w:tc>
          <w:tcPr/>
          <w:p>
            <w:pPr>
              <w:pStyle w:val="Compact"/>
              <w:jc w:val="center"/>
            </w:pPr>
            <w:r>
              <w:t xml:space="preserve">log_fit_smoking_alcohol</w:t>
            </w:r>
          </w:p>
        </w:tc>
        <w:tc>
          <w:tcPr/>
          <w:p>
            <w:pPr>
              <w:pStyle w:val="Compact"/>
              <w:jc w:val="center"/>
            </w:pPr>
            <w:r>
              <w:t xml:space="preserve">19381</w:t>
            </w:r>
          </w:p>
        </w:tc>
        <w:tc>
          <w:tcPr/>
          <w:p>
            <w:pPr>
              <w:pStyle w:val="Compact"/>
              <w:jc w:val="center"/>
            </w:pPr>
            <w:r>
              <w:t xml:space="preserve">19422</w:t>
            </w:r>
          </w:p>
        </w:tc>
        <w:tc>
          <w:tcPr/>
          <w:p>
            <w:pPr>
              <w:pStyle w:val="Compact"/>
              <w:jc w:val="center"/>
            </w:pPr>
            <w:r>
              <w:t xml:space="preserve">0.340</w:t>
            </w:r>
          </w:p>
        </w:tc>
      </w:tr>
    </w:tbl>
    <w:p>
      <w:pPr>
        <w:pStyle w:val="BodyText"/>
      </w:pPr>
      <w:r>
        <w:t xml:space="preserve">*Note: The given model name includes mammogram status as a response variable and the following variables as predictors as given in brackets: log_fit_year (year), log_fit_hispanicstatus (hispanic status of women), log_fit_age (age), log_fit_income (income), log_fit_education (education), log_fit_maritalstatus (marital status), log_fit_regionresidence (region of residence), log_fit_insurancestatus (insurance status), log_fit_healthstatus (health status), log_fit_usualmedicalcarestatus (usual place for medical care), log_fit_smokingstatus (smoking status), log_fit_alcoholstatus (alcohol status), log_fit_diabetesstatus (diabetes status), log_fit_fullmodel (all predictors of interests), log_fit_year_age_hispanic (year, age, and hispanic status), log_fit_demographic (age, hispanic status, income, education, marital status, and region of residence), log_fit_medical (insurance status, health status, usual place for medical care, and diabetes status), and log_fit_smoking_alcohol (smoking status and alcohol status).</w:t>
      </w:r>
    </w:p>
    <w:bookmarkEnd w:id="28"/>
    <w:bookmarkStart w:id="32" w:name="model-evaluation"/>
    <w:p>
      <w:pPr>
        <w:pStyle w:val="Heading3"/>
      </w:pPr>
      <w:r>
        <w:t xml:space="preserve">4.2.2 Model Evaluation</w:t>
      </w:r>
    </w:p>
    <w:p>
      <w:pPr>
        <w:pStyle w:val="FirstParagraph"/>
      </w:pPr>
      <w:r>
        <w:t xml:space="preserve">Model evaluation was performed for the full model including all predictors of interest and the alternative model including only hispanic status of women as the main predictor for mammogram. Data splitting was done by putting 3/4 of the data into the training set and recipe was created accordingly for fitting the full and alternative logistic models. Figure 2 shows the ROC curve for the full model (using mammogram status as the main outcome of interest and other variables as predictors) having ROC-AUC as 0.76 and the ROC curve for the alternative model (using mammogram status as the main outcome of interest and hispanic status as the main predictor) having ROC-AUC as 0.54. The larger the area under the curve, better the model is at distinguishing those with the outcomes from those without the outcomes. Hence, from the given figure, we can say that for mammogram status, the full model with all the predictors of interest is better than the alternative model having only Hispanic status as the main predictor.</w:t>
      </w:r>
    </w:p>
    <w:p>
      <w:pPr>
        <w:pStyle w:val="BodyText"/>
      </w:pPr>
      <w:r>
        <w:drawing>
          <wp:inline>
            <wp:extent cx="5334000" cy="3809273"/>
            <wp:effectExtent b="0" l="0" r="0" t="0"/>
            <wp:docPr descr="" title="" id="30" name="Picture"/>
            <a:graphic>
              <a:graphicData uri="http://schemas.openxmlformats.org/drawingml/2006/picture">
                <pic:pic>
                  <pic:nvPicPr>
                    <pic:cNvPr descr="../../results/statistical_analysis_result/2_model_evaluation_result/figure4_roc_combined.png" id="31" name="Picture"/>
                    <pic:cNvPicPr>
                      <a:picLocks noChangeArrowheads="1" noChangeAspect="1"/>
                    </pic:cNvPicPr>
                  </pic:nvPicPr>
                  <pic:blipFill>
                    <a:blip r:embed="rId29"/>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rPr>
          <w:bCs/>
          <w:b/>
        </w:rPr>
        <w:t xml:space="preserve">Figure 3: ROC Curve for the full model and alternative model.</w:t>
      </w:r>
    </w:p>
    <w:bookmarkEnd w:id="32"/>
    <w:bookmarkStart w:id="33" w:name="machine-learning"/>
    <w:p>
      <w:pPr>
        <w:pStyle w:val="Heading3"/>
      </w:pPr>
      <w:r>
        <w:t xml:space="preserve">4.2.3 Machine Learning</w:t>
      </w:r>
    </w:p>
    <w:p>
      <w:pPr>
        <w:pStyle w:val="FirstParagraph"/>
      </w:pPr>
      <w:r>
        <w:t xml:space="preserve">Different modeling techniques were performed for multivariate analysis using Decision-tree method and Lasso method. The data was split into 70% training and 30% testing using mammogram status (outcome) as stratification. Five-fold cross-validation was also performed which was repeated for 5 times. A null model was used for comparing the model performance and for interpreting the predictors’ importance. The ROC_AUC value for null model was found as 0.5 and this value was used as a basis for comparing Decision tree and Lasso models. The Decision tree model had the ROC_AUC value of 0.7 while Lasso model had the ROC_AUC value of 0.8. Both models performed better than the null model. But out of all the models, Lasso model performed the best and hence, Lasso model was chosen as the best performing model.</w:t>
      </w:r>
    </w:p>
    <w:p>
      <w:pPr>
        <w:pStyle w:val="BodyText"/>
      </w:pPr>
      <w:r>
        <w:rPr>
          <w:bCs/>
          <w:b/>
        </w:rPr>
        <w:t xml:space="preserve">Table 4: Model Selection using Null method, Decision tree method, and Lasso method.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Model</w:t>
            </w:r>
          </w:p>
        </w:tc>
        <w:tc>
          <w:tcPr/>
          <w:p>
            <w:pPr>
              <w:pStyle w:val="Compact"/>
              <w:jc w:val="center"/>
            </w:pPr>
            <w:r>
              <w:t xml:space="preserve">ROC_AUC</w:t>
            </w:r>
          </w:p>
        </w:tc>
      </w:tr>
      <w:tr>
        <w:tc>
          <w:tcPr/>
          <w:p>
            <w:pPr>
              <w:pStyle w:val="Compact"/>
              <w:jc w:val="center"/>
            </w:pPr>
            <w:r>
              <w:t xml:space="preserve">Null</w:t>
            </w:r>
          </w:p>
        </w:tc>
        <w:tc>
          <w:tcPr/>
          <w:p>
            <w:pPr>
              <w:pStyle w:val="Compact"/>
              <w:jc w:val="center"/>
            </w:pPr>
            <w:r>
              <w:t xml:space="preserve">0.5</w:t>
            </w:r>
          </w:p>
        </w:tc>
      </w:tr>
      <w:tr>
        <w:tc>
          <w:tcPr/>
          <w:p>
            <w:pPr>
              <w:pStyle w:val="Compact"/>
              <w:jc w:val="center"/>
            </w:pPr>
            <w:r>
              <w:t xml:space="preserve">Decision Tree</w:t>
            </w:r>
          </w:p>
        </w:tc>
        <w:tc>
          <w:tcPr/>
          <w:p>
            <w:pPr>
              <w:pStyle w:val="Compact"/>
              <w:jc w:val="center"/>
            </w:pPr>
            <w:r>
              <w:t xml:space="preserve">0.7</w:t>
            </w:r>
          </w:p>
        </w:tc>
      </w:tr>
      <w:tr>
        <w:tc>
          <w:tcPr/>
          <w:p>
            <w:pPr>
              <w:pStyle w:val="Compact"/>
              <w:jc w:val="center"/>
            </w:pPr>
            <w:r>
              <w:t xml:space="preserve">Lasso</w:t>
            </w:r>
          </w:p>
        </w:tc>
        <w:tc>
          <w:tcPr/>
          <w:p>
            <w:pPr>
              <w:pStyle w:val="Compact"/>
              <w:jc w:val="center"/>
            </w:pPr>
            <w:r>
              <w:t xml:space="preserve">0.8</w:t>
            </w:r>
          </w:p>
        </w:tc>
      </w:tr>
    </w:tbl>
    <w:bookmarkEnd w:id="33"/>
    <w:bookmarkEnd w:id="34"/>
    <w:bookmarkEnd w:id="35"/>
    <w:bookmarkStart w:id="36" w:name="discussion"/>
    <w:p>
      <w:pPr>
        <w:pStyle w:val="Heading1"/>
      </w:pPr>
      <w:r>
        <w:t xml:space="preserve">5. Discussion</w:t>
      </w:r>
    </w:p>
    <w:p>
      <w:pPr>
        <w:pStyle w:val="FirstParagraph"/>
      </w:pPr>
      <w:r>
        <w:t xml:space="preserve">This study aimed to explore the relationship trend among socioeconomic status and other predictive factors influencing the likelihood of using mammography screening services within Hispanic and non-Hispanic women aged 40 to 74 years during 2000, 2005, 2010, and 2015. There are very few studies relating to ethnicity and socio-economic characteristics of women for mammogram screening so this study helps to identify and understand the association and interaction between the use of mammography screening and demographic/socio-economic characteristics of women.</w:t>
      </w:r>
    </w:p>
    <w:p>
      <w:pPr>
        <w:pStyle w:val="BodyText"/>
      </w:pPr>
      <w:r>
        <w:t xml:space="preserve">In this study, we examined the mammography screening status of women aged 40 to 74 years and their relationship with the hypothesized predictors: year, hispanic status, age, income, education, marital status, region of residence, insurance status, health status, usual medical care status, smoking status, alcohol status, and diabetes status. During years 2000, 2005, 2010, and 2015, 84.5%, 85.3%, 87.8%, and 87.5% of women aged 40-74 years reported having mammogram. Though there was not much increment in mammography rate from 2010 to 2015 but there was some mammography rate increment compared to 2000 and 2005. Such increment in mammography rate could be due to people’s increased awareness and education, improved access to healthcare, advanced in technology, and changing mammography recommendation guidelines. Our findings support previous research as Hispanic women having lower mammogram screening rates (80.0%) compared to non-Hispanic women (87.5%) (</w:t>
      </w:r>
      <w:r>
        <w:rPr>
          <w:vertAlign w:val="superscript"/>
        </w:rPr>
        <w:t xml:space="preserve">12</w:t>
      </w:r>
      <w:r>
        <w:t xml:space="preserve">). All bivariate and multivariate relationships between mammogram status and predictors were found to be significant hence, all hypothesized predictors were found to have strong association with mammogram screening. As suggested in previous studies (</w:t>
      </w:r>
      <w:r>
        <w:rPr>
          <w:vertAlign w:val="superscript"/>
        </w:rPr>
        <w:t xml:space="preserve">13</w:t>
      </w:r>
      <w:r>
        <w:t xml:space="preserve">), we found higher odds of having mammogram among women with income at or above the poverty threshold as opposed to those below the poverty threshold. We also found older aged and highly educated women to have higher odds of having mammogram screening compared to young and low educated women. Current smokers were found having lower odds of having mammograms compared to people who never smoked. Previous studies have also suggested that people engaging in high risk behaviors are less likely to comply with cancer screening guidelines (</w:t>
      </w:r>
      <w:r>
        <w:rPr>
          <w:vertAlign w:val="superscript"/>
        </w:rPr>
        <w:t xml:space="preserve">14</w:t>
      </w:r>
      <w:r>
        <w:t xml:space="preserve">). This finding could be of great importance as health practitioners could identify such individuals and recommend appropriate cancer screening services. In full model, we found education and age as the predictors having highest significant association with mammogram screening. In that case, intervention programs should emphasize on educating women and make uneducated women aware of such cancer screening services.</w:t>
      </w:r>
    </w:p>
    <w:p>
      <w:pPr>
        <w:pStyle w:val="BodyText"/>
      </w:pPr>
      <w:r>
        <w:t xml:space="preserve">This study has several strengths, including the large national women sample size which contributes to the generalizability of this study’s findings. The publicly available dataset from NHIS makes the study easily accessible and feasible for this study’s reproducibility. Furthermore, this study includes women of minority groups especially Hispanic women, who are largely excluded from breast cancer screening studies.</w:t>
      </w:r>
    </w:p>
    <w:p>
      <w:pPr>
        <w:pStyle w:val="BodyText"/>
      </w:pPr>
      <w:r>
        <w:t xml:space="preserve">Nevertheless, there are some limitations of the study. There could be some form of bias resulting from the use of self-reported data. The study was limited to only 4 years study (2000, 2005, 2010, and 2015) as most of the data points for other years were missing so this study might not have captured the potential confounding variables that might have changed over time.</w:t>
      </w:r>
    </w:p>
    <w:bookmarkEnd w:id="36"/>
    <w:bookmarkStart w:id="37" w:name="conclusions"/>
    <w:p>
      <w:pPr>
        <w:pStyle w:val="Heading1"/>
      </w:pPr>
      <w:r>
        <w:t xml:space="preserve">6. Conclusions</w:t>
      </w:r>
    </w:p>
    <w:p>
      <w:pPr>
        <w:pStyle w:val="FirstParagraph"/>
      </w:pPr>
      <w:r>
        <w:t xml:space="preserve">This study confirms that there exists some association between mammogram screening and socio-economic status of Hispanic/non-Hispanic women during different years as all the hypothesized predictors were found to be significantly associated with mammogram status. We found age, education, income, and smoking behavior as the great predictors for having mammogram screening. Further research needs to be done to dive more into these hypothesized predictors to see their absolute and relative effects on mammogram screening. Furthermore, given the lower overall breast cancer screening rates among Hispanic women, increased education and awareness should be among top priorities for developing appropriate population-based interventions for increasing the use of mammography screening.</w:t>
      </w:r>
    </w:p>
    <w:bookmarkEnd w:id="37"/>
    <w:bookmarkStart w:id="67" w:name="references"/>
    <w:p>
      <w:pPr>
        <w:pStyle w:val="Heading1"/>
      </w:pPr>
      <w:r>
        <w:t xml:space="preserve">7. References</w:t>
      </w:r>
    </w:p>
    <w:bookmarkStart w:id="66" w:name="refs"/>
    <w:bookmarkStart w:id="39" w:name="ref-gorina_patterns_2021"/>
    <w:p>
      <w:pPr>
        <w:pStyle w:val="Bibliography"/>
      </w:pPr>
      <w:r>
        <w:t xml:space="preserve">1.</w:t>
      </w:r>
      <w:r>
        <w:t xml:space="preserve"> </w:t>
      </w:r>
      <w:r>
        <w:t xml:space="preserve">	</w:t>
      </w:r>
      <w:r>
        <w:t xml:space="preserve">Gorina Y, Elgaddal N.</w:t>
      </w:r>
      <w:r>
        <w:t xml:space="preserve"> </w:t>
      </w:r>
      <w:hyperlink r:id="rId38">
        <w:r>
          <w:rPr>
            <w:rStyle w:val="Hyperlink"/>
          </w:rPr>
          <w:t xml:space="preserve">Patterns of</w:t>
        </w:r>
        <w:r>
          <w:rPr>
            <w:rStyle w:val="Hyperlink"/>
          </w:rPr>
          <w:t xml:space="preserve"> </w:t>
        </w:r>
        <w:r>
          <w:rPr>
            <w:rStyle w:val="Hyperlink"/>
          </w:rPr>
          <w:t xml:space="preserve">Mammography</w:t>
        </w:r>
        <w:r>
          <w:rPr>
            <w:rStyle w:val="Hyperlink"/>
          </w:rPr>
          <w:t xml:space="preserve">,</w:t>
        </w:r>
        <w:r>
          <w:rPr>
            <w:rStyle w:val="Hyperlink"/>
          </w:rPr>
          <w:t xml:space="preserve"> </w:t>
        </w:r>
        <w:r>
          <w:rPr>
            <w:rStyle w:val="Hyperlink"/>
          </w:rPr>
          <w:t xml:space="preserve">Pap</w:t>
        </w:r>
        <w:r>
          <w:rPr>
            <w:rStyle w:val="Hyperlink"/>
          </w:rPr>
          <w:t xml:space="preserve"> </w:t>
        </w:r>
        <w:r>
          <w:rPr>
            <w:rStyle w:val="Hyperlink"/>
          </w:rPr>
          <w:t xml:space="preserve">Smear</w:t>
        </w:r>
        <w:r>
          <w:rPr>
            <w:rStyle w:val="Hyperlink"/>
          </w:rPr>
          <w:t xml:space="preserve">, and</w:t>
        </w:r>
        <w:r>
          <w:rPr>
            <w:rStyle w:val="Hyperlink"/>
          </w:rPr>
          <w:t xml:space="preserve"> </w:t>
        </w:r>
        <w:r>
          <w:rPr>
            <w:rStyle w:val="Hyperlink"/>
          </w:rPr>
          <w:t xml:space="preserve">Colorectal</w:t>
        </w:r>
        <w:r>
          <w:rPr>
            <w:rStyle w:val="Hyperlink"/>
          </w:rPr>
          <w:t xml:space="preserve"> </w:t>
        </w:r>
        <w:r>
          <w:rPr>
            <w:rStyle w:val="Hyperlink"/>
          </w:rPr>
          <w:t xml:space="preserve">Cancer</w:t>
        </w:r>
        <w:r>
          <w:rPr>
            <w:rStyle w:val="Hyperlink"/>
          </w:rPr>
          <w:t xml:space="preserve"> </w:t>
        </w:r>
        <w:r>
          <w:rPr>
            <w:rStyle w:val="Hyperlink"/>
          </w:rPr>
          <w:t xml:space="preserve">Screening</w:t>
        </w:r>
        <w:r>
          <w:rPr>
            <w:rStyle w:val="Hyperlink"/>
          </w:rPr>
          <w:t xml:space="preserve"> </w:t>
        </w:r>
        <w:r>
          <w:rPr>
            <w:rStyle w:val="Hyperlink"/>
          </w:rPr>
          <w:t xml:space="preserve">Services</w:t>
        </w:r>
        <w:r>
          <w:rPr>
            <w:rStyle w:val="Hyperlink"/>
          </w:rPr>
          <w:t xml:space="preserve"> </w:t>
        </w:r>
        <w:r>
          <w:rPr>
            <w:rStyle w:val="Hyperlink"/>
          </w:rPr>
          <w:t xml:space="preserve">Among</w:t>
        </w:r>
        <w:r>
          <w:rPr>
            <w:rStyle w:val="Hyperlink"/>
          </w:rPr>
          <w:t xml:space="preserve"> </w:t>
        </w:r>
        <w:r>
          <w:rPr>
            <w:rStyle w:val="Hyperlink"/>
          </w:rPr>
          <w:t xml:space="preserve">Women</w:t>
        </w:r>
        <w:r>
          <w:rPr>
            <w:rStyle w:val="Hyperlink"/>
          </w:rPr>
          <w:t xml:space="preserve"> </w:t>
        </w:r>
        <w:r>
          <w:rPr>
            <w:rStyle w:val="Hyperlink"/>
          </w:rPr>
          <w:t xml:space="preserve">Aged</w:t>
        </w:r>
        <w:r>
          <w:rPr>
            <w:rStyle w:val="Hyperlink"/>
          </w:rPr>
          <w:t xml:space="preserve"> </w:t>
        </w:r>
        <w:r>
          <w:rPr>
            <w:rStyle w:val="Hyperlink"/>
          </w:rPr>
          <w:t xml:space="preserve">45 and</w:t>
        </w:r>
        <w:r>
          <w:rPr>
            <w:rStyle w:val="Hyperlink"/>
          </w:rPr>
          <w:t xml:space="preserve"> </w:t>
        </w:r>
        <w:r>
          <w:rPr>
            <w:rStyle w:val="Hyperlink"/>
          </w:rPr>
          <w:t xml:space="preserve">Over</w:t>
        </w:r>
      </w:hyperlink>
      <w:r>
        <w:t xml:space="preserve">.</w:t>
      </w:r>
      <w:r>
        <w:t xml:space="preserve"> </w:t>
      </w:r>
      <w:r>
        <w:rPr>
          <w:iCs/>
          <w:i/>
        </w:rPr>
        <w:t xml:space="preserve">National Health Statistics Reports</w:t>
      </w:r>
      <w:r>
        <w:t xml:space="preserve">. 2021;(157):1-18.</w:t>
      </w:r>
    </w:p>
    <w:bookmarkEnd w:id="39"/>
    <w:bookmarkStart w:id="41" w:name="ref-tabar_reduction_1985"/>
    <w:p>
      <w:pPr>
        <w:pStyle w:val="Bibliography"/>
      </w:pPr>
      <w:r>
        <w:t xml:space="preserve">2.</w:t>
      </w:r>
      <w:r>
        <w:t xml:space="preserve"> </w:t>
      </w:r>
      <w:r>
        <w:t xml:space="preserve">	</w:t>
      </w:r>
      <w:r>
        <w:t xml:space="preserve">Tabár L, Gad A, Holmberg LH, et al.</w:t>
      </w:r>
      <w:r>
        <w:t xml:space="preserve"> </w:t>
      </w:r>
      <w:r>
        <w:t xml:space="preserve">REDUCTION</w:t>
      </w:r>
      <w:r>
        <w:t xml:space="preserve"> </w:t>
      </w:r>
      <w:r>
        <w:t xml:space="preserve">IN</w:t>
      </w:r>
      <w:r>
        <w:t xml:space="preserve"> </w:t>
      </w:r>
      <w:r>
        <w:t xml:space="preserve">MORTALITY</w:t>
      </w:r>
      <w:r>
        <w:t xml:space="preserve"> </w:t>
      </w:r>
      <w:r>
        <w:t xml:space="preserve">FROM</w:t>
      </w:r>
      <w:r>
        <w:t xml:space="preserve"> </w:t>
      </w:r>
      <w:r>
        <w:t xml:space="preserve">BREAST</w:t>
      </w:r>
      <w:r>
        <w:t xml:space="preserve"> </w:t>
      </w:r>
      <w:r>
        <w:t xml:space="preserve">CANCER</w:t>
      </w:r>
      <w:r>
        <w:t xml:space="preserve"> </w:t>
      </w:r>
      <w:r>
        <w:t xml:space="preserve">AFTER</w:t>
      </w:r>
      <w:r>
        <w:t xml:space="preserve"> </w:t>
      </w:r>
      <w:r>
        <w:t xml:space="preserve">MASS</w:t>
      </w:r>
      <w:r>
        <w:t xml:space="preserve"> </w:t>
      </w:r>
      <w:r>
        <w:t xml:space="preserve">SCREENING</w:t>
      </w:r>
      <w:r>
        <w:t xml:space="preserve"> </w:t>
      </w:r>
      <w:r>
        <w:t xml:space="preserve">WITH</w:t>
      </w:r>
      <w:r>
        <w:t xml:space="preserve"> </w:t>
      </w:r>
      <w:r>
        <w:t xml:space="preserve">MAMMOGRAPHY</w:t>
      </w:r>
      <w:r>
        <w:t xml:space="preserve">.</w:t>
      </w:r>
      <w:r>
        <w:t xml:space="preserve"> </w:t>
      </w:r>
      <w:r>
        <w:rPr>
          <w:iCs/>
          <w:i/>
        </w:rPr>
        <w:t xml:space="preserve">The Lancet</w:t>
      </w:r>
      <w:r>
        <w:t xml:space="preserve">. 1985;325(8433):829-832. doi:</w:t>
      </w:r>
      <w:hyperlink r:id="rId40">
        <w:r>
          <w:rPr>
            <w:rStyle w:val="Hyperlink"/>
          </w:rPr>
          <w:t xml:space="preserve">10.1016/S0140-6736(85)92204-4</w:t>
        </w:r>
      </w:hyperlink>
    </w:p>
    <w:bookmarkEnd w:id="41"/>
    <w:bookmarkStart w:id="43" w:name="ref-kerlikowske_efficacy_1995"/>
    <w:p>
      <w:pPr>
        <w:pStyle w:val="Bibliography"/>
      </w:pPr>
      <w:r>
        <w:t xml:space="preserve">3.</w:t>
      </w:r>
      <w:r>
        <w:t xml:space="preserve"> </w:t>
      </w:r>
      <w:r>
        <w:t xml:space="preserve">	</w:t>
      </w:r>
      <w:r>
        <w:t xml:space="preserve">Kerlikowske K, Grady D, Rubin SM, Sandrock C, Ernster VL.</w:t>
      </w:r>
      <w:r>
        <w:t xml:space="preserve"> </w:t>
      </w:r>
      <w:hyperlink r:id="rId42">
        <w:r>
          <w:rPr>
            <w:rStyle w:val="Hyperlink"/>
          </w:rPr>
          <w:t xml:space="preserve">Efficacy of screening mammography.</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w:t>
      </w:r>
      <w:r>
        <w:t xml:space="preserve"> </w:t>
      </w:r>
      <w:r>
        <w:rPr>
          <w:iCs/>
          <w:i/>
        </w:rPr>
        <w:t xml:space="preserve">JAMA</w:t>
      </w:r>
      <w:r>
        <w:t xml:space="preserve">. 1995;273(2):149-154.</w:t>
      </w:r>
    </w:p>
    <w:bookmarkEnd w:id="43"/>
    <w:bookmarkStart w:id="45" w:name="ref-shapiro_ten-_1982"/>
    <w:p>
      <w:pPr>
        <w:pStyle w:val="Bibliography"/>
      </w:pPr>
      <w:r>
        <w:t xml:space="preserve">4.</w:t>
      </w:r>
      <w:r>
        <w:t xml:space="preserve"> </w:t>
      </w:r>
      <w:r>
        <w:t xml:space="preserve">	</w:t>
      </w:r>
      <w:r>
        <w:t xml:space="preserve">Shapiro S, Venet W, Strax P, Venet L, Roeser R.</w:t>
      </w:r>
      <w:r>
        <w:t xml:space="preserve"> </w:t>
      </w:r>
      <w:hyperlink r:id="rId44">
        <w:r>
          <w:rPr>
            <w:rStyle w:val="Hyperlink"/>
          </w:rPr>
          <w:t xml:space="preserve">Ten- to fourteen-year effect of screening on breast cancer mortality</w:t>
        </w:r>
      </w:hyperlink>
      <w:r>
        <w:t xml:space="preserve">.</w:t>
      </w:r>
      <w:r>
        <w:t xml:space="preserve"> </w:t>
      </w:r>
      <w:r>
        <w:rPr>
          <w:iCs/>
          <w:i/>
        </w:rPr>
        <w:t xml:space="preserve">Journal of the National Cancer Institute</w:t>
      </w:r>
      <w:r>
        <w:t xml:space="preserve">. 1982;69(2):349-355.</w:t>
      </w:r>
    </w:p>
    <w:bookmarkEnd w:id="45"/>
    <w:bookmarkStart w:id="47" w:name="ref-laara_trends_1987"/>
    <w:p>
      <w:pPr>
        <w:pStyle w:val="Bibliography"/>
      </w:pPr>
      <w:r>
        <w:t xml:space="preserve">5.</w:t>
      </w:r>
      <w:r>
        <w:t xml:space="preserve"> </w:t>
      </w:r>
      <w:r>
        <w:t xml:space="preserve">	</w:t>
      </w:r>
      <w:r>
        <w:t xml:space="preserve">Lăără E, Day NicholasE, Hakama M.</w:t>
      </w:r>
      <w:r>
        <w:t xml:space="preserve"> </w:t>
      </w:r>
      <w:r>
        <w:t xml:space="preserve">TRENDS</w:t>
      </w:r>
      <w:r>
        <w:t xml:space="preserve"> </w:t>
      </w:r>
      <w:r>
        <w:t xml:space="preserve">IN</w:t>
      </w:r>
      <w:r>
        <w:t xml:space="preserve"> </w:t>
      </w:r>
      <w:r>
        <w:t xml:space="preserve">MORTALITY</w:t>
      </w:r>
      <w:r>
        <w:t xml:space="preserve"> </w:t>
      </w:r>
      <w:r>
        <w:t xml:space="preserve">FROM</w:t>
      </w:r>
      <w:r>
        <w:t xml:space="preserve"> </w:t>
      </w:r>
      <w:r>
        <w:t xml:space="preserve">CERVICAL</w:t>
      </w:r>
      <w:r>
        <w:t xml:space="preserve"> </w:t>
      </w:r>
      <w:r>
        <w:t xml:space="preserve">CANCER</w:t>
      </w:r>
      <w:r>
        <w:t xml:space="preserve"> </w:t>
      </w:r>
      <w:r>
        <w:t xml:space="preserve">IN</w:t>
      </w:r>
      <w:r>
        <w:t xml:space="preserve"> </w:t>
      </w:r>
      <w:r>
        <w:t xml:space="preserve">THE</w:t>
      </w:r>
      <w:r>
        <w:t xml:space="preserve"> </w:t>
      </w:r>
      <w:r>
        <w:t xml:space="preserve">NORDIC</w:t>
      </w:r>
      <w:r>
        <w:t xml:space="preserve"> </w:t>
      </w:r>
      <w:r>
        <w:t xml:space="preserve">COUNTRIES</w:t>
      </w:r>
      <w:r>
        <w:t xml:space="preserve">:</w:t>
      </w:r>
      <w:r>
        <w:t xml:space="preserve"> </w:t>
      </w:r>
      <w:r>
        <w:t xml:space="preserve">ASSOCIATION</w:t>
      </w:r>
      <w:r>
        <w:t xml:space="preserve"> </w:t>
      </w:r>
      <w:r>
        <w:t xml:space="preserve">WITH</w:t>
      </w:r>
      <w:r>
        <w:t xml:space="preserve"> </w:t>
      </w:r>
      <w:r>
        <w:t xml:space="preserve">ORGANISED</w:t>
      </w:r>
      <w:r>
        <w:t xml:space="preserve"> </w:t>
      </w:r>
      <w:r>
        <w:t xml:space="preserve">SCREENING</w:t>
      </w:r>
      <w:r>
        <w:t xml:space="preserve"> </w:t>
      </w:r>
      <w:r>
        <w:t xml:space="preserve">PROGRAMMES</w:t>
      </w:r>
      <w:r>
        <w:t xml:space="preserve">.</w:t>
      </w:r>
      <w:r>
        <w:t xml:space="preserve"> </w:t>
      </w:r>
      <w:r>
        <w:rPr>
          <w:iCs/>
          <w:i/>
        </w:rPr>
        <w:t xml:space="preserve">The Lancet</w:t>
      </w:r>
      <w:r>
        <w:t xml:space="preserve">. 1987;329(8544):1247-1249. doi:</w:t>
      </w:r>
      <w:hyperlink r:id="rId46">
        <w:r>
          <w:rPr>
            <w:rStyle w:val="Hyperlink"/>
          </w:rPr>
          <w:t xml:space="preserve">10.1016/S0140-6736(87)92695-X</w:t>
        </w:r>
      </w:hyperlink>
    </w:p>
    <w:bookmarkEnd w:id="47"/>
    <w:bookmarkStart w:id="49" w:name="ref-siu_screening_2016"/>
    <w:p>
      <w:pPr>
        <w:pStyle w:val="Bibliography"/>
      </w:pPr>
      <w:r>
        <w:t xml:space="preserve">6.</w:t>
      </w:r>
      <w:r>
        <w:t xml:space="preserve"> </w:t>
      </w:r>
      <w:r>
        <w:t xml:space="preserve">	</w:t>
      </w:r>
      <w:r>
        <w:t xml:space="preserve">Siu AL, on behalf of the U.S. Preventive Services Task Force. Screening for</w:t>
      </w:r>
      <w:r>
        <w:t xml:space="preserve"> </w:t>
      </w:r>
      <w:r>
        <w:t xml:space="preserve">Breast</w:t>
      </w:r>
      <w:r>
        <w:t xml:space="preserve"> </w:t>
      </w:r>
      <w:r>
        <w:t xml:space="preserve">Cancer</w:t>
      </w:r>
      <w:r>
        <w:t xml:space="preserve">:</w:t>
      </w:r>
      <w:r>
        <w:t xml:space="preserve"> </w:t>
      </w:r>
      <w:r>
        <w:t xml:space="preserve">U</w:t>
      </w:r>
      <w:r>
        <w:t xml:space="preserve">.</w:t>
      </w:r>
      <w:r>
        <w:t xml:space="preserve">S</w:t>
      </w:r>
      <w:r>
        <w:t xml:space="preserve">.</w:t>
      </w:r>
      <w:r>
        <w:t xml:space="preserve"> </w:t>
      </w:r>
      <w:r>
        <w:t xml:space="preserve">Preventive</w:t>
      </w:r>
      <w:r>
        <w:t xml:space="preserve"> </w:t>
      </w:r>
      <w:r>
        <w:t xml:space="preserve">Services</w:t>
      </w:r>
      <w:r>
        <w:t xml:space="preserve"> </w:t>
      </w:r>
      <w:r>
        <w:t xml:space="preserve">Task</w:t>
      </w:r>
      <w:r>
        <w:t xml:space="preserve"> </w:t>
      </w:r>
      <w:r>
        <w:t xml:space="preserve">Force</w:t>
      </w:r>
      <w:r>
        <w:t xml:space="preserve"> </w:t>
      </w:r>
      <w:r>
        <w:t xml:space="preserve">Recommendation</w:t>
      </w:r>
      <w:r>
        <w:t xml:space="preserve"> </w:t>
      </w:r>
      <w:r>
        <w:t xml:space="preserve">Statement</w:t>
      </w:r>
      <w:r>
        <w:t xml:space="preserve">.</w:t>
      </w:r>
      <w:r>
        <w:t xml:space="preserve"> </w:t>
      </w:r>
      <w:r>
        <w:rPr>
          <w:iCs/>
          <w:i/>
        </w:rPr>
        <w:t xml:space="preserve">Annals of Internal Medicine</w:t>
      </w:r>
      <w:r>
        <w:t xml:space="preserve">. 2016;164(4):279. doi:</w:t>
      </w:r>
      <w:hyperlink r:id="rId48">
        <w:r>
          <w:rPr>
            <w:rStyle w:val="Hyperlink"/>
          </w:rPr>
          <w:t xml:space="preserve">10.7326/M15-2886</w:t>
        </w:r>
      </w:hyperlink>
    </w:p>
    <w:bookmarkEnd w:id="49"/>
    <w:bookmarkStart w:id="51" w:name="ref-selvin_breast_2003"/>
    <w:p>
      <w:pPr>
        <w:pStyle w:val="Bibliography"/>
      </w:pPr>
      <w:r>
        <w:t xml:space="preserve">7.</w:t>
      </w:r>
      <w:r>
        <w:t xml:space="preserve"> </w:t>
      </w:r>
      <w:r>
        <w:t xml:space="preserve">	</w:t>
      </w:r>
      <w:r>
        <w:t xml:space="preserve">Selvin E, Brett KM. Breast and cervical cancer screening: Sociodemographic predictors 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 </w:t>
      </w:r>
      <w:r>
        <w:rPr>
          <w:iCs/>
          <w:i/>
        </w:rPr>
        <w:t xml:space="preserve">American Journal of Public Health</w:t>
      </w:r>
      <w:r>
        <w:t xml:space="preserve">. 2003;93(4):618-623. doi:</w:t>
      </w:r>
      <w:hyperlink r:id="rId50">
        <w:r>
          <w:rPr>
            <w:rStyle w:val="Hyperlink"/>
          </w:rPr>
          <w:t xml:space="preserve">10.2105/ajph.93.4.618</w:t>
        </w:r>
      </w:hyperlink>
    </w:p>
    <w:bookmarkEnd w:id="51"/>
    <w:bookmarkStart w:id="53" w:name="ref-aftab_trends_2021"/>
    <w:p>
      <w:pPr>
        <w:pStyle w:val="Bibliography"/>
      </w:pPr>
      <w:r>
        <w:t xml:space="preserve">8.</w:t>
      </w:r>
      <w:r>
        <w:t xml:space="preserve"> </w:t>
      </w:r>
      <w:r>
        <w:t xml:space="preserve">	</w:t>
      </w:r>
      <w:r>
        <w:t xml:space="preserve">Aftab IB, Ahmed A, Mumu SK, Mouly TF, Commar DS. Trends and</w:t>
      </w:r>
      <w:r>
        <w:t xml:space="preserve"> </w:t>
      </w:r>
      <w:r>
        <w:t xml:space="preserve">Disparities</w:t>
      </w:r>
      <w:r>
        <w:t xml:space="preserve"> </w:t>
      </w:r>
      <w:r>
        <w:t xml:space="preserve">in</w:t>
      </w:r>
      <w:r>
        <w:t xml:space="preserve"> </w:t>
      </w:r>
      <w:r>
        <w:t xml:space="preserve">Breast</w:t>
      </w:r>
      <w:r>
        <w:t xml:space="preserve"> </w:t>
      </w:r>
      <w:r>
        <w:t xml:space="preserve">Cancer</w:t>
      </w:r>
      <w:r>
        <w:t xml:space="preserve"> </w:t>
      </w:r>
      <w:r>
        <w:t xml:space="preserve">Incidence</w:t>
      </w:r>
      <w:r>
        <w:t xml:space="preserve">-</w:t>
      </w:r>
      <w:r>
        <w:t xml:space="preserve">Mortality</w:t>
      </w:r>
      <w:r>
        <w:t xml:space="preserve"> </w:t>
      </w:r>
      <w:r>
        <w:t xml:space="preserve">Rates</w:t>
      </w:r>
      <w:r>
        <w:t xml:space="preserve"> </w:t>
      </w:r>
      <w:r>
        <w:t xml:space="preserve">of</w:t>
      </w:r>
      <w:r>
        <w:t xml:space="preserve"> </w:t>
      </w:r>
      <w:r>
        <w:t xml:space="preserve">Black</w:t>
      </w:r>
      <w:r>
        <w:t xml:space="preserve">-</w:t>
      </w:r>
      <w:r>
        <w:t xml:space="preserve">White</w:t>
      </w:r>
      <w:r>
        <w:t xml:space="preserve"> </w:t>
      </w:r>
      <w:r>
        <w:t xml:space="preserve">Women</w:t>
      </w:r>
      <w:r>
        <w:t xml:space="preserve"> </w:t>
      </w:r>
      <w:r>
        <w:t xml:space="preserve">in the</w:t>
      </w:r>
      <w:r>
        <w:t xml:space="preserve"> </w:t>
      </w:r>
      <w:r>
        <w:t xml:space="preserve">U</w:t>
      </w:r>
      <w:r>
        <w:t xml:space="preserve">.</w:t>
      </w:r>
      <w:r>
        <w:t xml:space="preserve">S</w:t>
      </w:r>
      <w:r>
        <w:t xml:space="preserve">.: 2000-2016.</w:t>
      </w:r>
      <w:r>
        <w:t xml:space="preserve"> </w:t>
      </w:r>
      <w:r>
        <w:rPr>
          <w:iCs/>
          <w:i/>
        </w:rPr>
        <w:t xml:space="preserve">Advances in Breast Cancer Research</w:t>
      </w:r>
      <w:r>
        <w:t xml:space="preserve">. 2021;10(04):200-217. doi:</w:t>
      </w:r>
      <w:hyperlink r:id="rId52">
        <w:r>
          <w:rPr>
            <w:rStyle w:val="Hyperlink"/>
          </w:rPr>
          <w:t xml:space="preserve">10.4236/abcr.2021.104017</w:t>
        </w:r>
      </w:hyperlink>
    </w:p>
    <w:bookmarkEnd w:id="53"/>
    <w:bookmarkStart w:id="55" w:name="ref-achat_who_2005"/>
    <w:p>
      <w:pPr>
        <w:pStyle w:val="Bibliography"/>
      </w:pPr>
      <w:r>
        <w:t xml:space="preserve">9.</w:t>
      </w:r>
      <w:r>
        <w:t xml:space="preserve"> </w:t>
      </w:r>
      <w:r>
        <w:t xml:space="preserve">	</w:t>
      </w:r>
      <w:r>
        <w:t xml:space="preserve">Achat H, Close G, Taylor R. Who has regular mammograms?</w:t>
      </w:r>
      <w:r>
        <w:t xml:space="preserve"> </w:t>
      </w:r>
      <w:r>
        <w:t xml:space="preserve">Effects</w:t>
      </w:r>
      <w:r>
        <w:t xml:space="preserve"> </w:t>
      </w:r>
      <w:r>
        <w:t xml:space="preserve">of knowledge, beliefs, socioeconomic status, and health-related factors.</w:t>
      </w:r>
      <w:r>
        <w:t xml:space="preserve"> </w:t>
      </w:r>
      <w:r>
        <w:rPr>
          <w:iCs/>
          <w:i/>
        </w:rPr>
        <w:t xml:space="preserve">Preventive Medicine</w:t>
      </w:r>
      <w:r>
        <w:t xml:space="preserve">. 2005;41(1):312-320. doi:</w:t>
      </w:r>
      <w:hyperlink r:id="rId54">
        <w:r>
          <w:rPr>
            <w:rStyle w:val="Hyperlink"/>
          </w:rPr>
          <w:t xml:space="preserve">10.1016/j.ypmed.2004.11.016</w:t>
        </w:r>
      </w:hyperlink>
    </w:p>
    <w:bookmarkEnd w:id="55"/>
    <w:bookmarkStart w:id="57" w:name="ref-monnat_race/ethnicity_2014"/>
    <w:p>
      <w:pPr>
        <w:pStyle w:val="Bibliography"/>
      </w:pPr>
      <w:r>
        <w:t xml:space="preserve">10.</w:t>
      </w:r>
      <w:r>
        <w:t xml:space="preserve"> </w:t>
      </w:r>
      <w:r>
        <w:t xml:space="preserve">	</w:t>
      </w:r>
      <w:r>
        <w:t xml:space="preserve">Monnat SM. Race/</w:t>
      </w:r>
      <w:r>
        <w:t xml:space="preserve">Ethnicity</w:t>
      </w:r>
      <w:r>
        <w:t xml:space="preserve"> </w:t>
      </w:r>
      <w:r>
        <w:t xml:space="preserve">and the</w:t>
      </w:r>
      <w:r>
        <w:t xml:space="preserve"> </w:t>
      </w:r>
      <w:r>
        <w:t xml:space="preserve">Socioeconomic</w:t>
      </w:r>
      <w:r>
        <w:t xml:space="preserve"> </w:t>
      </w:r>
      <w:r>
        <w:t xml:space="preserve">Status</w:t>
      </w:r>
      <w:r>
        <w:t xml:space="preserve"> </w:t>
      </w:r>
      <w:r>
        <w:t xml:space="preserve">Gradient</w:t>
      </w:r>
      <w:r>
        <w:t xml:space="preserve"> </w:t>
      </w:r>
      <w:r>
        <w:t xml:space="preserve">in</w:t>
      </w:r>
      <w:r>
        <w:t xml:space="preserve"> </w:t>
      </w:r>
      <w:r>
        <w:t xml:space="preserve">Women</w:t>
      </w:r>
      <w:r>
        <w:t xml:space="preserve">’s</w:t>
      </w:r>
      <w:r>
        <w:t xml:space="preserve"> </w:t>
      </w:r>
      <w:r>
        <w:t xml:space="preserve">Cancer</w:t>
      </w:r>
      <w:r>
        <w:t xml:space="preserve"> </w:t>
      </w:r>
      <w:r>
        <w:t xml:space="preserve">Screening</w:t>
      </w:r>
      <w:r>
        <w:t xml:space="preserve"> </w:t>
      </w:r>
      <w:r>
        <w:t xml:space="preserve">Utilization</w:t>
      </w:r>
      <w:r>
        <w:t xml:space="preserve">:</w:t>
      </w:r>
      <w:r>
        <w:t xml:space="preserve"> </w:t>
      </w:r>
      <w:r>
        <w:t xml:space="preserve">A</w:t>
      </w:r>
      <w:r>
        <w:t xml:space="preserve"> </w:t>
      </w:r>
      <w:r>
        <w:t xml:space="preserve">Case</w:t>
      </w:r>
      <w:r>
        <w:t xml:space="preserve"> </w:t>
      </w:r>
      <w:r>
        <w:t xml:space="preserve">of</w:t>
      </w:r>
      <w:r>
        <w:t xml:space="preserve"> </w:t>
      </w:r>
      <w:r>
        <w:t xml:space="preserve">Diminishing</w:t>
      </w:r>
      <w:r>
        <w:t xml:space="preserve"> </w:t>
      </w:r>
      <w:r>
        <w:t xml:space="preserve">Returns</w:t>
      </w:r>
      <w:r>
        <w:t xml:space="preserve">?</w:t>
      </w:r>
      <w:r>
        <w:t xml:space="preserve"> </w:t>
      </w:r>
      <w:r>
        <w:rPr>
          <w:iCs/>
          <w:i/>
        </w:rPr>
        <w:t xml:space="preserve">Journal of Health Care for the Poor and Underserved</w:t>
      </w:r>
      <w:r>
        <w:t xml:space="preserve">. 2014;25(1):332-356. doi:</w:t>
      </w:r>
      <w:hyperlink r:id="rId56">
        <w:r>
          <w:rPr>
            <w:rStyle w:val="Hyperlink"/>
          </w:rPr>
          <w:t xml:space="preserve">10.1353/hpu.2014.0050</w:t>
        </w:r>
      </w:hyperlink>
    </w:p>
    <w:bookmarkEnd w:id="57"/>
    <w:bookmarkStart w:id="59" w:name="ref-blewett_lynn_a._ipums_2016"/>
    <w:p>
      <w:pPr>
        <w:pStyle w:val="Bibliography"/>
      </w:pPr>
      <w:r>
        <w:t xml:space="preserve">11.</w:t>
      </w:r>
      <w:r>
        <w:t xml:space="preserve"> </w:t>
      </w:r>
      <w:r>
        <w:t xml:space="preserve">	</w:t>
      </w:r>
      <w:r>
        <w:t xml:space="preserve">Blewett, Lynn A., Drew, Julia A. Rivera, Griffin, Risa, King, Miriam L., Williams, Kari C.W.</w:t>
      </w:r>
      <w:r>
        <w:t xml:space="preserve"> </w:t>
      </w:r>
      <w:r>
        <w:t xml:space="preserve">IPUMS</w:t>
      </w:r>
      <w:r>
        <w:t xml:space="preserve"> </w:t>
      </w:r>
      <w:r>
        <w:t xml:space="preserve">Health</w:t>
      </w:r>
      <w:r>
        <w:t xml:space="preserve"> </w:t>
      </w:r>
      <w:r>
        <w:t xml:space="preserve">Surveys</w:t>
      </w:r>
      <w:r>
        <w:t xml:space="preserv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t xml:space="preserve">Version</w:t>
      </w:r>
      <w:r>
        <w:t xml:space="preserve"> </w:t>
      </w:r>
      <w:r>
        <w:t xml:space="preserve">6.2. Published online 2016. doi:</w:t>
      </w:r>
      <w:hyperlink r:id="rId58">
        <w:r>
          <w:rPr>
            <w:rStyle w:val="Hyperlink"/>
          </w:rPr>
          <w:t xml:space="preserve">10.18128/D070.V6.2</w:t>
        </w:r>
      </w:hyperlink>
    </w:p>
    <w:bookmarkEnd w:id="59"/>
    <w:bookmarkStart w:id="61" w:name="ref-selvin_breast_2003-1"/>
    <w:p>
      <w:pPr>
        <w:pStyle w:val="Bibliography"/>
      </w:pPr>
      <w:r>
        <w:t xml:space="preserve">12.</w:t>
      </w:r>
      <w:r>
        <w:t xml:space="preserve"> </w:t>
      </w:r>
      <w:r>
        <w:t xml:space="preserve">	</w:t>
      </w:r>
      <w:r>
        <w:t xml:space="preserve">Selvin E, Brett KM. Breast and</w:t>
      </w:r>
      <w:r>
        <w:t xml:space="preserve"> </w:t>
      </w:r>
      <w:r>
        <w:t xml:space="preserve">Cervical</w:t>
      </w:r>
      <w:r>
        <w:t xml:space="preserve"> </w:t>
      </w:r>
      <w:r>
        <w:t xml:space="preserve">Cancer</w:t>
      </w:r>
      <w:r>
        <w:t xml:space="preserve"> </w:t>
      </w:r>
      <w:r>
        <w:t xml:space="preserve">Screening</w:t>
      </w:r>
      <w:r>
        <w:t xml:space="preserve">:</w:t>
      </w:r>
      <w:r>
        <w:t xml:space="preserve"> </w:t>
      </w:r>
      <w:r>
        <w:t xml:space="preserve">Sociodemographic</w:t>
      </w:r>
      <w:r>
        <w:t xml:space="preserve"> </w:t>
      </w:r>
      <w:r>
        <w:t xml:space="preserve">Predictors</w:t>
      </w:r>
      <w:r>
        <w:t xml:space="preserve"> </w:t>
      </w:r>
      <w:r>
        <w:t xml:space="preserve">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w:t>
      </w:r>
      <w:r>
        <w:t xml:space="preserve"> </w:t>
      </w:r>
      <w:r>
        <w:rPr>
          <w:iCs/>
          <w:i/>
        </w:rPr>
        <w:t xml:space="preserve">American Journal of Public Health</w:t>
      </w:r>
      <w:r>
        <w:t xml:space="preserve">. 2003;93(4):618-623. doi:</w:t>
      </w:r>
      <w:hyperlink r:id="rId60">
        <w:r>
          <w:rPr>
            <w:rStyle w:val="Hyperlink"/>
          </w:rPr>
          <w:t xml:space="preserve">10.2105/AJPH.93.4.618</w:t>
        </w:r>
      </w:hyperlink>
    </w:p>
    <w:bookmarkEnd w:id="61"/>
    <w:bookmarkStart w:id="63" w:name="ref-katz_breast_2000"/>
    <w:p>
      <w:pPr>
        <w:pStyle w:val="Bibliography"/>
      </w:pPr>
      <w:r>
        <w:t xml:space="preserve">13.</w:t>
      </w:r>
      <w:r>
        <w:t xml:space="preserve"> </w:t>
      </w:r>
      <w:r>
        <w:t xml:space="preserve">	</w:t>
      </w:r>
      <w:r>
        <w:t xml:space="preserve">Katz SJ, Zemencuk JK, Hofer TP. Breast cancer screening in the</w:t>
      </w:r>
      <w:r>
        <w:t xml:space="preserve"> </w:t>
      </w:r>
      <w:r>
        <w:t xml:space="preserve">United</w:t>
      </w:r>
      <w:r>
        <w:t xml:space="preserve"> </w:t>
      </w:r>
      <w:r>
        <w:t xml:space="preserve">States</w:t>
      </w:r>
      <w:r>
        <w:t xml:space="preserve"> </w:t>
      </w:r>
      <w:r>
        <w:t xml:space="preserve">and</w:t>
      </w:r>
      <w:r>
        <w:t xml:space="preserve"> </w:t>
      </w:r>
      <w:r>
        <w:t xml:space="preserve">Canada</w:t>
      </w:r>
      <w:r>
        <w:t xml:space="preserve">, 1994: Socioeconomic gradients persist.</w:t>
      </w:r>
      <w:r>
        <w:t xml:space="preserve"> </w:t>
      </w:r>
      <w:r>
        <w:rPr>
          <w:iCs/>
          <w:i/>
        </w:rPr>
        <w:t xml:space="preserve">American Journal of Public Health</w:t>
      </w:r>
      <w:r>
        <w:t xml:space="preserve">. 2000;90(5):799-803. doi:</w:t>
      </w:r>
      <w:hyperlink r:id="rId62">
        <w:r>
          <w:rPr>
            <w:rStyle w:val="Hyperlink"/>
          </w:rPr>
          <w:t xml:space="preserve">10.2105/ajph.90.5.799</w:t>
        </w:r>
      </w:hyperlink>
    </w:p>
    <w:bookmarkEnd w:id="63"/>
    <w:bookmarkStart w:id="65" w:name="ref-holm_health_1999"/>
    <w:p>
      <w:pPr>
        <w:pStyle w:val="Bibliography"/>
      </w:pPr>
      <w:r>
        <w:t xml:space="preserve">14.</w:t>
      </w:r>
      <w:r>
        <w:t xml:space="preserve"> </w:t>
      </w:r>
      <w:r>
        <w:t xml:space="preserve">	</w:t>
      </w:r>
      <w:r>
        <w:t xml:space="preserve">Holm CJ, Frank DI, Curtin J. Health beliefs, health locus of control, and women’s mammography behavior:</w:t>
      </w:r>
      <w:r>
        <w:t xml:space="preserve"> </w:t>
      </w:r>
      <w:r>
        <w:rPr>
          <w:iCs/>
          <w:i/>
        </w:rPr>
        <w:t xml:space="preserve">Cancer Nursing</w:t>
      </w:r>
      <w:r>
        <w:t xml:space="preserve">. 1999;22(2):149-156. doi:</w:t>
      </w:r>
      <w:hyperlink r:id="rId64">
        <w:r>
          <w:rPr>
            <w:rStyle w:val="Hyperlink"/>
          </w:rPr>
          <w:t xml:space="preserve">10.1097/00002820-199904000-00007</w:t>
        </w:r>
      </w:hyperlink>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0" Target="https://doi.org/10.1016/S0140-6736(85)92204-4" TargetMode="External" /><Relationship Type="http://schemas.openxmlformats.org/officeDocument/2006/relationships/hyperlink" Id="rId46" Target="https://doi.org/10.1016/S0140-6736(87)92695-X" TargetMode="External" /><Relationship Type="http://schemas.openxmlformats.org/officeDocument/2006/relationships/hyperlink" Id="rId54" Target="https://doi.org/10.1016/j.ypmed.2004.11.016" TargetMode="External" /><Relationship Type="http://schemas.openxmlformats.org/officeDocument/2006/relationships/hyperlink" Id="rId64" Target="https://doi.org/10.1097/00002820-199904000-00007" TargetMode="External" /><Relationship Type="http://schemas.openxmlformats.org/officeDocument/2006/relationships/hyperlink" Id="rId56" Target="https://doi.org/10.1353/hpu.2014.0050" TargetMode="External" /><Relationship Type="http://schemas.openxmlformats.org/officeDocument/2006/relationships/hyperlink" Id="rId58" Target="https://doi.org/10.18128/D070.V6.2" TargetMode="External" /><Relationship Type="http://schemas.openxmlformats.org/officeDocument/2006/relationships/hyperlink" Id="rId60" Target="https://doi.org/10.2105/AJPH.93.4.618" TargetMode="External" /><Relationship Type="http://schemas.openxmlformats.org/officeDocument/2006/relationships/hyperlink" Id="rId62" Target="https://doi.org/10.2105/ajph.90.5.799" TargetMode="External" /><Relationship Type="http://schemas.openxmlformats.org/officeDocument/2006/relationships/hyperlink" Id="rId50" Target="https://doi.org/10.2105/ajph.93.4.618" TargetMode="External" /><Relationship Type="http://schemas.openxmlformats.org/officeDocument/2006/relationships/hyperlink" Id="rId52" Target="https://doi.org/10.4236/abcr.2021.104017" TargetMode="External" /><Relationship Type="http://schemas.openxmlformats.org/officeDocument/2006/relationships/hyperlink" Id="rId48"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38" Target="https://www.ncbi.nlm.nih.gov/pubmed/34181518" TargetMode="External" /><Relationship Type="http://schemas.openxmlformats.org/officeDocument/2006/relationships/hyperlink" Id="rId44" Target="https://www.ncbi.nlm.nih.gov/pubmed/6955542" TargetMode="External" /><Relationship Type="http://schemas.openxmlformats.org/officeDocument/2006/relationships/hyperlink" Id="rId42" Target="https://www.ncbi.nlm.nih.gov/pubmed/7799496"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S0140-6736(85)92204-4" TargetMode="External" /><Relationship Type="http://schemas.openxmlformats.org/officeDocument/2006/relationships/hyperlink" Id="rId46" Target="https://doi.org/10.1016/S0140-6736(87)92695-X" TargetMode="External" /><Relationship Type="http://schemas.openxmlformats.org/officeDocument/2006/relationships/hyperlink" Id="rId54" Target="https://doi.org/10.1016/j.ypmed.2004.11.016" TargetMode="External" /><Relationship Type="http://schemas.openxmlformats.org/officeDocument/2006/relationships/hyperlink" Id="rId64" Target="https://doi.org/10.1097/00002820-199904000-00007" TargetMode="External" /><Relationship Type="http://schemas.openxmlformats.org/officeDocument/2006/relationships/hyperlink" Id="rId56" Target="https://doi.org/10.1353/hpu.2014.0050" TargetMode="External" /><Relationship Type="http://schemas.openxmlformats.org/officeDocument/2006/relationships/hyperlink" Id="rId58" Target="https://doi.org/10.18128/D070.V6.2" TargetMode="External" /><Relationship Type="http://schemas.openxmlformats.org/officeDocument/2006/relationships/hyperlink" Id="rId60" Target="https://doi.org/10.2105/AJPH.93.4.618" TargetMode="External" /><Relationship Type="http://schemas.openxmlformats.org/officeDocument/2006/relationships/hyperlink" Id="rId62" Target="https://doi.org/10.2105/ajph.90.5.799" TargetMode="External" /><Relationship Type="http://schemas.openxmlformats.org/officeDocument/2006/relationships/hyperlink" Id="rId50" Target="https://doi.org/10.2105/ajph.93.4.618" TargetMode="External" /><Relationship Type="http://schemas.openxmlformats.org/officeDocument/2006/relationships/hyperlink" Id="rId52" Target="https://doi.org/10.4236/abcr.2021.104017" TargetMode="External" /><Relationship Type="http://schemas.openxmlformats.org/officeDocument/2006/relationships/hyperlink" Id="rId48"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38" Target="https://www.ncbi.nlm.nih.gov/pubmed/34181518" TargetMode="External" /><Relationship Type="http://schemas.openxmlformats.org/officeDocument/2006/relationships/hyperlink" Id="rId44" Target="https://www.ncbi.nlm.nih.gov/pubmed/6955542" TargetMode="External" /><Relationship Type="http://schemas.openxmlformats.org/officeDocument/2006/relationships/hyperlink" Id="rId42" Target="https://www.ncbi.nlm.nih.gov/pubmed/7799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2023-05-05T03:06:17Z</dcterms:created>
  <dcterms:modified xsi:type="dcterms:W3CDTF">2023-05-05T03:06:17Z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jama.csl</vt:lpwstr>
  </property>
  <property fmtid="{D5CDD505-2E9C-101B-9397-08002B2CF9AE}" pid="7" name="date">
    <vt:lpwstr>5/4/23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 in mammogram screening for breast cancer and socio-economic status of hispanic and non-hispanic women during 2000, 2005, 2010, and 2015</vt:lpwstr>
  </property>
  <property fmtid="{D5CDD505-2E9C-101B-9397-08002B2CF9AE}" pid="13" name="toc-title">
    <vt:lpwstr>Table of contents</vt:lpwstr>
  </property>
</Properties>
</file>