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914" w:rsidRPr="00512914" w:rsidRDefault="00512914" w:rsidP="00512914">
      <w:pPr>
        <w:widowControl/>
        <w:snapToGrid w:val="0"/>
        <w:spacing w:line="360" w:lineRule="auto"/>
        <w:jc w:val="center"/>
        <w:rPr>
          <w:kern w:val="0"/>
          <w:szCs w:val="21"/>
        </w:rPr>
      </w:pPr>
      <w:bookmarkStart w:id="0" w:name="_GoBack"/>
      <w:bookmarkEnd w:id="0"/>
      <w:r w:rsidRPr="00512914">
        <w:rPr>
          <w:rFonts w:ascii="宋体" w:hAnsi="宋体" w:hint="eastAsia"/>
          <w:b/>
          <w:bCs/>
          <w:color w:val="FF6600"/>
          <w:kern w:val="0"/>
          <w:sz w:val="44"/>
          <w:szCs w:val="44"/>
        </w:rPr>
        <w:t>万事达专享——境外消费10%返现</w:t>
      </w:r>
    </w:p>
    <w:p w:rsidR="00512914" w:rsidRPr="00512914" w:rsidRDefault="00512914" w:rsidP="00512914">
      <w:pPr>
        <w:widowControl/>
        <w:snapToGrid w:val="0"/>
        <w:spacing w:line="360" w:lineRule="auto"/>
        <w:rPr>
          <w:kern w:val="0"/>
          <w:szCs w:val="21"/>
        </w:rPr>
      </w:pPr>
      <w:r w:rsidRPr="00512914">
        <w:rPr>
          <w:rFonts w:ascii="宋体" w:hAnsi="宋体" w:hint="eastAsia"/>
          <w:b/>
          <w:bCs/>
          <w:color w:val="0000FF"/>
          <w:kern w:val="0"/>
          <w:szCs w:val="21"/>
        </w:rPr>
        <w:t>活动负责人：</w:t>
      </w:r>
      <w:r w:rsidRPr="00512914">
        <w:rPr>
          <w:rFonts w:ascii="宋体" w:hAnsi="宋体" w:hint="eastAsia"/>
          <w:kern w:val="0"/>
          <w:szCs w:val="21"/>
        </w:rPr>
        <w:t>市场部，黄钟尧，6901</w:t>
      </w:r>
    </w:p>
    <w:p w:rsidR="00512914" w:rsidRPr="00512914" w:rsidRDefault="00512914" w:rsidP="00512914">
      <w:pPr>
        <w:widowControl/>
        <w:snapToGrid w:val="0"/>
        <w:spacing w:line="360" w:lineRule="auto"/>
        <w:rPr>
          <w:kern w:val="0"/>
          <w:szCs w:val="21"/>
        </w:rPr>
      </w:pPr>
      <w:r w:rsidRPr="00512914">
        <w:rPr>
          <w:rFonts w:ascii="宋体" w:hAnsi="宋体" w:hint="eastAsia"/>
          <w:b/>
          <w:bCs/>
          <w:color w:val="0000FF"/>
          <w:kern w:val="0"/>
          <w:szCs w:val="21"/>
        </w:rPr>
        <w:t>活动时间：</w:t>
      </w:r>
      <w:r w:rsidRPr="00512914">
        <w:rPr>
          <w:rFonts w:ascii="宋体" w:hAnsi="宋体" w:hint="eastAsia"/>
          <w:kern w:val="0"/>
          <w:szCs w:val="21"/>
        </w:rPr>
        <w:t>2018年4月1日——2018年6月30日（第一期）</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2018年7月1日——2018年9月30日（第二期）</w:t>
      </w:r>
    </w:p>
    <w:p w:rsidR="00512914" w:rsidRPr="00512914" w:rsidRDefault="00512914" w:rsidP="00512914">
      <w:pPr>
        <w:widowControl/>
        <w:snapToGrid w:val="0"/>
        <w:spacing w:line="360" w:lineRule="auto"/>
        <w:rPr>
          <w:kern w:val="0"/>
          <w:szCs w:val="21"/>
        </w:rPr>
      </w:pPr>
      <w:r w:rsidRPr="00512914">
        <w:rPr>
          <w:rFonts w:ascii="宋体" w:hAnsi="宋体" w:hint="eastAsia"/>
          <w:b/>
          <w:bCs/>
          <w:color w:val="0000FF"/>
          <w:kern w:val="0"/>
          <w:szCs w:val="21"/>
        </w:rPr>
        <w:t>活动对象：</w:t>
      </w:r>
      <w:r w:rsidRPr="00512914">
        <w:rPr>
          <w:rFonts w:ascii="宋体" w:hAnsi="宋体" w:hint="eastAsia"/>
          <w:kern w:val="0"/>
          <w:szCs w:val="21"/>
        </w:rPr>
        <w:t>中信万事达卡持卡人</w:t>
      </w:r>
    </w:p>
    <w:p w:rsidR="00512914" w:rsidRPr="00512914" w:rsidRDefault="00512914" w:rsidP="00512914">
      <w:pPr>
        <w:widowControl/>
        <w:snapToGrid w:val="0"/>
        <w:spacing w:line="360" w:lineRule="auto"/>
        <w:rPr>
          <w:kern w:val="0"/>
          <w:szCs w:val="21"/>
        </w:rPr>
      </w:pPr>
      <w:r w:rsidRPr="00512914">
        <w:rPr>
          <w:rFonts w:ascii="宋体" w:hAnsi="宋体" w:hint="eastAsia"/>
          <w:b/>
          <w:bCs/>
          <w:color w:val="0000FF"/>
          <w:kern w:val="0"/>
          <w:szCs w:val="21"/>
        </w:rPr>
        <w:t>活动内容：</w:t>
      </w:r>
    </w:p>
    <w:p w:rsidR="00512914" w:rsidRPr="00512914" w:rsidRDefault="00512914" w:rsidP="00512914">
      <w:pPr>
        <w:widowControl/>
        <w:snapToGrid w:val="0"/>
        <w:spacing w:line="360" w:lineRule="auto"/>
        <w:rPr>
          <w:kern w:val="0"/>
          <w:szCs w:val="21"/>
        </w:rPr>
      </w:pPr>
      <w:r w:rsidRPr="00512914">
        <w:rPr>
          <w:rFonts w:ascii="宋体" w:hAnsi="宋体" w:hint="eastAsia"/>
          <w:b/>
          <w:bCs/>
          <w:kern w:val="0"/>
          <w:szCs w:val="21"/>
        </w:rPr>
        <w:t>新客奖励：</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（1）新办万事达卡客户境外任意消费单笔5美元返5美元，限获一次，总限量。</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（2）新办万事达钛金卡专享境外任意消费单笔满10美元返10美元，限获一次，总限量。</w:t>
      </w:r>
    </w:p>
    <w:p w:rsidR="00512914" w:rsidRPr="00512914" w:rsidRDefault="00512914" w:rsidP="00512914">
      <w:pPr>
        <w:widowControl/>
        <w:snapToGrid w:val="0"/>
        <w:spacing w:line="360" w:lineRule="auto"/>
        <w:rPr>
          <w:kern w:val="0"/>
          <w:szCs w:val="21"/>
        </w:rPr>
      </w:pPr>
      <w:r w:rsidRPr="00512914">
        <w:rPr>
          <w:rFonts w:ascii="宋体" w:hAnsi="宋体" w:hint="eastAsia"/>
          <w:b/>
          <w:bCs/>
          <w:kern w:val="0"/>
          <w:szCs w:val="21"/>
        </w:rPr>
        <w:t>新客定义：</w:t>
      </w:r>
      <w:r w:rsidRPr="00512914">
        <w:rPr>
          <w:rFonts w:ascii="宋体" w:hAnsi="宋体" w:hint="eastAsia"/>
          <w:kern w:val="0"/>
          <w:szCs w:val="21"/>
        </w:rPr>
        <w:t>180天以上未持有中信万事达卡客户。</w:t>
      </w:r>
    </w:p>
    <w:p w:rsidR="00512914" w:rsidRPr="00512914" w:rsidRDefault="00512914" w:rsidP="00512914">
      <w:pPr>
        <w:widowControl/>
        <w:snapToGrid w:val="0"/>
        <w:spacing w:line="360" w:lineRule="auto"/>
        <w:rPr>
          <w:kern w:val="0"/>
          <w:szCs w:val="21"/>
        </w:rPr>
      </w:pPr>
      <w:r w:rsidRPr="00512914">
        <w:rPr>
          <w:rFonts w:ascii="宋体" w:hAnsi="宋体" w:hint="eastAsia"/>
          <w:b/>
          <w:bCs/>
          <w:kern w:val="0"/>
          <w:szCs w:val="21"/>
        </w:rPr>
        <w:t>满额返现：</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境外刷中信万事达钛金、白金卡、世界卡通过万事达路线交易，单笔满100美元返现10美元，线上每月返现上限20美元，线下每月返现上限100美元，每卡每月最高返120美元，总限量。</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返现时间为客户交易后的3个月内，具体以实际入账为准。</w:t>
      </w:r>
    </w:p>
    <w:p w:rsidR="00512914" w:rsidRPr="00512914" w:rsidRDefault="00512914" w:rsidP="00512914">
      <w:pPr>
        <w:widowControl/>
        <w:snapToGrid w:val="0"/>
        <w:spacing w:line="360" w:lineRule="auto"/>
        <w:rPr>
          <w:kern w:val="0"/>
          <w:szCs w:val="21"/>
        </w:rPr>
      </w:pPr>
      <w:r w:rsidRPr="00512914">
        <w:rPr>
          <w:rFonts w:ascii="宋体" w:hAnsi="宋体" w:hint="eastAsia"/>
          <w:b/>
          <w:bCs/>
          <w:kern w:val="0"/>
          <w:szCs w:val="21"/>
        </w:rPr>
        <w:t>登记渠道：</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微信登记：编辑MCC给中信银行信用卡官方微信登记，微信号：</w:t>
      </w:r>
      <w:proofErr w:type="spellStart"/>
      <w:r w:rsidRPr="00512914">
        <w:rPr>
          <w:rFonts w:ascii="宋体" w:hAnsi="宋体" w:hint="eastAsia"/>
          <w:kern w:val="0"/>
          <w:szCs w:val="21"/>
        </w:rPr>
        <w:t>zxyhxyk</w:t>
      </w:r>
      <w:proofErr w:type="spellEnd"/>
      <w:r w:rsidRPr="00512914">
        <w:rPr>
          <w:rFonts w:ascii="宋体" w:hAnsi="宋体" w:hint="eastAsia"/>
          <w:kern w:val="0"/>
          <w:szCs w:val="21"/>
        </w:rPr>
        <w:t>；</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短信登记：编辑MCC到106980095558</w:t>
      </w:r>
    </w:p>
    <w:p w:rsidR="00512914" w:rsidRPr="00512914" w:rsidRDefault="00512914" w:rsidP="00512914">
      <w:pPr>
        <w:widowControl/>
        <w:snapToGrid w:val="0"/>
        <w:spacing w:line="360" w:lineRule="auto"/>
        <w:rPr>
          <w:kern w:val="0"/>
          <w:szCs w:val="21"/>
        </w:rPr>
      </w:pPr>
      <w:r w:rsidRPr="00512914">
        <w:rPr>
          <w:rFonts w:ascii="宋体" w:hAnsi="宋体" w:hint="eastAsia"/>
          <w:color w:val="FF0000"/>
          <w:kern w:val="0"/>
          <w:szCs w:val="21"/>
        </w:rPr>
        <w:t>注：</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1、活动需通过短信、微信登记参加。</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2、“新客奖励”返现金额于活动结束后一次性返，活动期间每位持卡人限获得一次。</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3、“满额返现”线上交易每月最高返现20美元，线下交易每月最高返现100美元，每卡每月最高返120美元。</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4、本活动每月限返15万美元（按交易达标先后顺序，新户奖励及满额返现一并计算）；</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5、我行将根据实际情况调整第二期活动规则。</w:t>
      </w:r>
    </w:p>
    <w:p w:rsidR="00512914" w:rsidRPr="00512914" w:rsidRDefault="00512914" w:rsidP="00512914">
      <w:pPr>
        <w:widowControl/>
        <w:snapToGrid w:val="0"/>
        <w:spacing w:line="360" w:lineRule="auto"/>
        <w:rPr>
          <w:kern w:val="0"/>
          <w:szCs w:val="21"/>
        </w:rPr>
      </w:pPr>
      <w:r w:rsidRPr="00512914">
        <w:rPr>
          <w:rFonts w:ascii="宋体" w:hAnsi="宋体" w:hint="eastAsia"/>
          <w:b/>
          <w:bCs/>
          <w:color w:val="0000FF"/>
          <w:kern w:val="0"/>
          <w:szCs w:val="21"/>
        </w:rPr>
        <w:t>活动细则</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1、本活动限持中信万事达新办卡客户、万事达钛金卡（及以上层级）持卡客户参加。</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2、本活动按卡片进行交易统计，主卡登记参与，主卡名下的附属卡无需登记即可参与。</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3、本活动仅统计刷卡交易，取现交易不纳入统计。</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4、持卡人需在活动周期内参与登记才享返现，登记当月交易即可返现，登记月份之前的交易不返，如您在6月登记，则6月当月及之后的交易金额享受返现，5月的交易金额不享受返现。</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lastRenderedPageBreak/>
        <w:t>5、返现金额将在交易后三个月内由万事达卡组织进行返现，具体以实际入账时间为准。返现金额返至客户对应万事达卡外币账户中，如是港币卡或欧元卡，将返等值金额到对应账户中，返现入账描述：万事达卡返利。</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6、返还金额如取现/转账会产生相应的费用，该费用由持卡人自理。</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7、返现逻辑：1）选出所有在活动期间登记的客户；2）剔除登记客户中不满足返现交易的客户；3）剩余客户按达标交易先后顺序进行返现（新户奖励及满额返现一并计算）；4）本活动每月限返15万美元，先到先返，返完即止，不再另行通知。</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8、活动期间，已登记持卡人如换卡或更新了手机号码，需要重新登记，如未重新登记，将不再享受返还。</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9、中信银行信用卡持卡人如有下述任一情况：所持信用卡被停用或管制、自行注销已登记信用卡、拒不偿还中信银行信用卡欠款、在信用卡使用中有任何舞弊/欺诈或非真 实交易、违反本活动办法及其他相关规定的，中信银行信用卡中心有权取消其参加本活动的资格。</w:t>
      </w:r>
    </w:p>
    <w:p w:rsidR="00512914" w:rsidRPr="00512914" w:rsidRDefault="00512914" w:rsidP="00512914">
      <w:pPr>
        <w:widowControl/>
        <w:snapToGrid w:val="0"/>
        <w:spacing w:line="360" w:lineRule="auto"/>
        <w:rPr>
          <w:kern w:val="0"/>
          <w:szCs w:val="21"/>
        </w:rPr>
      </w:pPr>
      <w:r w:rsidRPr="00512914">
        <w:rPr>
          <w:rFonts w:ascii="宋体" w:hAnsi="宋体" w:hint="eastAsia"/>
          <w:kern w:val="0"/>
          <w:szCs w:val="21"/>
        </w:rPr>
        <w:t>10、中信银行信用卡中心保留在法律许可的范围内对本活动的全部或部分内容进行变更的权利而不另行知会。</w:t>
      </w:r>
    </w:p>
    <w:p w:rsidR="00512914" w:rsidRPr="00512914" w:rsidRDefault="00512914" w:rsidP="00512914"/>
    <w:sectPr w:rsidR="00512914" w:rsidRPr="00512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885" w:rsidRDefault="00CE0885" w:rsidP="00512914">
      <w:r>
        <w:separator/>
      </w:r>
    </w:p>
  </w:endnote>
  <w:endnote w:type="continuationSeparator" w:id="0">
    <w:p w:rsidR="00CE0885" w:rsidRDefault="00CE0885" w:rsidP="0051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885" w:rsidRDefault="00CE0885" w:rsidP="00512914">
      <w:r>
        <w:separator/>
      </w:r>
    </w:p>
  </w:footnote>
  <w:footnote w:type="continuationSeparator" w:id="0">
    <w:p w:rsidR="00CE0885" w:rsidRDefault="00CE0885" w:rsidP="00512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77"/>
    <w:rsid w:val="00392577"/>
    <w:rsid w:val="00512914"/>
    <w:rsid w:val="00990EA4"/>
    <w:rsid w:val="00AA2E04"/>
    <w:rsid w:val="00C66CE3"/>
    <w:rsid w:val="00C755D2"/>
    <w:rsid w:val="00CC3991"/>
    <w:rsid w:val="00CE0885"/>
    <w:rsid w:val="00E1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AF042A-DDDA-47FD-B3E8-558F01CD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51291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512914"/>
    <w:rPr>
      <w:kern w:val="2"/>
      <w:sz w:val="18"/>
      <w:szCs w:val="18"/>
    </w:rPr>
  </w:style>
  <w:style w:type="paragraph" w:styleId="a4">
    <w:name w:val="footer"/>
    <w:basedOn w:val="a"/>
    <w:link w:val="Char0"/>
    <w:rsid w:val="00512914"/>
    <w:pPr>
      <w:tabs>
        <w:tab w:val="center" w:pos="4153"/>
        <w:tab w:val="right" w:pos="8306"/>
      </w:tabs>
      <w:snapToGrid w:val="0"/>
      <w:jc w:val="left"/>
    </w:pPr>
    <w:rPr>
      <w:sz w:val="18"/>
      <w:szCs w:val="18"/>
    </w:rPr>
  </w:style>
  <w:style w:type="character" w:customStyle="1" w:styleId="Char0">
    <w:name w:val="页脚 Char"/>
    <w:link w:val="a4"/>
    <w:rsid w:val="0051291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4665">
      <w:bodyDiv w:val="1"/>
      <w:marLeft w:val="0"/>
      <w:marRight w:val="0"/>
      <w:marTop w:val="0"/>
      <w:marBottom w:val="0"/>
      <w:divBdr>
        <w:top w:val="none" w:sz="0" w:space="0" w:color="auto"/>
        <w:left w:val="none" w:sz="0" w:space="0" w:color="auto"/>
        <w:bottom w:val="none" w:sz="0" w:space="0" w:color="auto"/>
        <w:right w:val="none" w:sz="0" w:space="0" w:color="auto"/>
      </w:divBdr>
    </w:div>
    <w:div w:id="880553321">
      <w:bodyDiv w:val="1"/>
      <w:marLeft w:val="0"/>
      <w:marRight w:val="0"/>
      <w:marTop w:val="0"/>
      <w:marBottom w:val="0"/>
      <w:divBdr>
        <w:top w:val="none" w:sz="0" w:space="0" w:color="auto"/>
        <w:left w:val="none" w:sz="0" w:space="0" w:color="auto"/>
        <w:bottom w:val="none" w:sz="0" w:space="0" w:color="auto"/>
        <w:right w:val="none" w:sz="0" w:space="0" w:color="auto"/>
      </w:divBdr>
    </w:div>
    <w:div w:id="1629242234">
      <w:bodyDiv w:val="1"/>
      <w:marLeft w:val="0"/>
      <w:marRight w:val="0"/>
      <w:marTop w:val="0"/>
      <w:marBottom w:val="0"/>
      <w:divBdr>
        <w:top w:val="none" w:sz="0" w:space="0" w:color="auto"/>
        <w:left w:val="none" w:sz="0" w:space="0" w:color="auto"/>
        <w:bottom w:val="none" w:sz="0" w:space="0" w:color="auto"/>
        <w:right w:val="none" w:sz="0" w:space="0" w:color="auto"/>
      </w:divBdr>
    </w:div>
    <w:div w:id="16832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1058</Characters>
  <Application>Microsoft Office Word</Application>
  <DocSecurity>0</DocSecurity>
  <Lines>8</Lines>
  <Paragraphs>2</Paragraphs>
  <ScaleCrop>false</ScaleCrop>
  <Company>CITICBANK</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王家法</dc:creator>
  <cp:keywords/>
  <cp:lastModifiedBy>丁 娜</cp:lastModifiedBy>
  <cp:revision>2</cp:revision>
  <dcterms:created xsi:type="dcterms:W3CDTF">2018-06-05T22:59:00Z</dcterms:created>
  <dcterms:modified xsi:type="dcterms:W3CDTF">2018-06-05T22:59:00Z</dcterms:modified>
</cp:coreProperties>
</file>