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  <w:jc w:val="left"/>
      </w:pPr>
      <w:r>
        <w:rPr>
          <w:rFonts w:ascii="Arial" w:hAnsi="Arial"/>
          <w:b/>
          <w:color w:val="000000"/>
          <w:sz w:val="32"/>
        </w:rPr>
        <w:t>Highlights</w:t>
      </w:r>
    </w:p>
    <w:p>
      <w:pPr>
        <w:spacing w:after="360" w:line="259" w:lineRule="auto"/>
      </w:pPr>
      <w:r>
        <w:rPr>
          <w:rFonts w:ascii="Arial" w:hAnsi="Arial"/>
          <w:b/>
          <w:color w:val="000000"/>
          <w:sz w:val="22"/>
        </w:rPr>
        <w:t>Reserve-SOC supervisory energy management for grid-diesel-battery drilling rig power systems under forecast uncertainty</w:t>
      </w:r>
    </w:p>
    <w:p>
      <w:pPr>
        <w:pStyle w:val="ListBullet"/>
        <w:spacing w:after="160" w:line="259" w:lineRule="auto"/>
        <w:ind w:left="403" w:hanging="259"/>
      </w:pPr>
      <w:r>
        <w:rPr>
          <w:rFonts w:ascii="Arial" w:hAnsi="Arial"/>
          <w:b w:val="0"/>
          <w:color w:val="000000"/>
          <w:sz w:val="22"/>
        </w:rPr>
        <w:t>Storage-reserve supervision coordinates batteries and reachable generation.</w:t>
      </w:r>
    </w:p>
    <w:p>
      <w:pPr>
        <w:pStyle w:val="ListBullet"/>
        <w:spacing w:after="160" w:line="259" w:lineRule="auto"/>
        <w:ind w:left="403" w:hanging="259"/>
      </w:pPr>
      <w:r>
        <w:rPr>
          <w:rFonts w:ascii="Arial" w:hAnsi="Arial"/>
          <w:b w:val="0"/>
          <w:color w:val="000000"/>
          <w:sz w:val="22"/>
        </w:rPr>
        <w:t>Causal forecasts inform mixed-integer receding-horizon dispatch.</w:t>
      </w:r>
    </w:p>
    <w:p>
      <w:pPr>
        <w:pStyle w:val="ListBullet"/>
        <w:spacing w:after="160" w:line="259" w:lineRule="auto"/>
        <w:ind w:left="403" w:hanging="259"/>
      </w:pPr>
      <w:r>
        <w:rPr>
          <w:rFonts w:ascii="Arial" w:hAnsi="Arial"/>
          <w:b w:val="0"/>
          <w:color w:val="000000"/>
          <w:sz w:val="22"/>
        </w:rPr>
        <w:t>In simulation, unserved energy falls 3.27% versus rule-based control.</w:t>
      </w:r>
    </w:p>
    <w:p>
      <w:pPr>
        <w:pStyle w:val="ListBullet"/>
        <w:spacing w:after="160" w:line="259" w:lineRule="auto"/>
        <w:ind w:left="403" w:hanging="259"/>
      </w:pPr>
      <w:r>
        <w:rPr>
          <w:rFonts w:ascii="Arial" w:hAnsi="Arial"/>
          <w:b w:val="0"/>
          <w:color w:val="000000"/>
          <w:sz w:val="22"/>
        </w:rPr>
        <w:t>In simulation, risk-adjusted cost falls 3.85% versus rule-based control.</w:t>
      </w:r>
    </w:p>
    <w:p>
      <w:pPr>
        <w:pStyle w:val="ListBullet"/>
        <w:spacing w:after="160" w:line="259" w:lineRule="auto"/>
        <w:ind w:left="403" w:hanging="259"/>
      </w:pPr>
      <w:r>
        <w:rPr>
          <w:rFonts w:ascii="Arial" w:hAnsi="Arial"/>
          <w:b w:val="0"/>
          <w:color w:val="000000"/>
          <w:sz w:val="22"/>
        </w:rPr>
        <w:t>Forecast envelopes and supervision reduce simulated supply shortage.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>Reserve-SOC supervisory energy management for grid-diesel-battery drilling rig power systems under forecast uncertainty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