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1CE7" w:rsidRPr="00A21CE7" w:rsidRDefault="00A21CE7" w:rsidP="00A21CE7">
      <w:pPr>
        <w:pStyle w:val="1"/>
      </w:pPr>
      <w:bookmarkStart w:id="0" w:name="_Toc505601255"/>
      <w:r>
        <w:rPr>
          <w:rFonts w:hint="eastAsia"/>
        </w:rPr>
        <w:t>&lt;一&gt;</w:t>
      </w:r>
      <w:r w:rsidRPr="00A21CE7">
        <w:t>齐帅彬</w:t>
      </w:r>
      <w:r w:rsidRPr="00A21CE7">
        <w:rPr>
          <w:rFonts w:hint="eastAsia"/>
        </w:rPr>
        <w:t>分析报告</w:t>
      </w:r>
      <w:r w:rsidRPr="00A21CE7">
        <w:t>：</w:t>
      </w:r>
    </w:p>
    <w:p w:rsidR="00A21CE7" w:rsidRPr="002C0B3D" w:rsidRDefault="00A21CE7" w:rsidP="00A21CE7">
      <w:pPr>
        <w:pStyle w:val="2"/>
        <w:rPr>
          <w:rFonts w:ascii="宋体" w:eastAsia="宋体" w:hAnsi="宋体"/>
        </w:rPr>
      </w:pPr>
      <w:bookmarkStart w:id="1" w:name="_Toc505601260"/>
      <w:bookmarkEnd w:id="0"/>
      <w:r w:rsidRPr="002C0B3D">
        <w:rPr>
          <w:rFonts w:ascii="宋体" w:eastAsia="宋体" w:hAnsi="宋体" w:hint="eastAsia"/>
        </w:rPr>
        <w:t>1、pt上课表</w:t>
      </w:r>
      <w:bookmarkEnd w:id="1"/>
    </w:p>
    <w:p w:rsidR="00A21CE7" w:rsidRPr="002C0B3D" w:rsidRDefault="00A21CE7" w:rsidP="00A21CE7">
      <w:pPr>
        <w:pStyle w:val="3"/>
        <w:rPr>
          <w:rFonts w:ascii="宋体" w:eastAsia="宋体" w:hAnsi="宋体"/>
        </w:rPr>
      </w:pPr>
      <w:bookmarkStart w:id="2" w:name="_Toc505601261"/>
      <w:r w:rsidRPr="002C0B3D">
        <w:rPr>
          <w:rFonts w:ascii="宋体" w:eastAsia="宋体" w:hAnsi="宋体" w:hint="eastAsia"/>
        </w:rPr>
        <w:t>（1）课程类别受欢迎程度分析</w:t>
      </w:r>
      <w:bookmarkEnd w:id="2"/>
    </w:p>
    <w:p w:rsidR="00A21CE7" w:rsidRPr="002C0B3D" w:rsidRDefault="00A21CE7" w:rsidP="00A21CE7">
      <w:pPr>
        <w:pStyle w:val="a3"/>
        <w:numPr>
          <w:ilvl w:val="0"/>
          <w:numId w:val="2"/>
        </w:numPr>
        <w:ind w:firstLineChars="0"/>
        <w:rPr>
          <w:rFonts w:ascii="宋体" w:eastAsia="宋体" w:hAnsi="宋体"/>
        </w:rPr>
      </w:pPr>
      <w:r w:rsidRPr="002C0B3D">
        <w:rPr>
          <w:rFonts w:ascii="宋体" w:eastAsia="宋体" w:hAnsi="宋体" w:hint="eastAsia"/>
        </w:rPr>
        <w:t>分析内容描述</w:t>
      </w:r>
    </w:p>
    <w:p w:rsidR="00A21CE7" w:rsidRDefault="00A21CE7" w:rsidP="00A21CE7">
      <w:pPr>
        <w:pStyle w:val="a3"/>
        <w:ind w:left="1140"/>
        <w:rPr>
          <w:rFonts w:ascii="宋体" w:eastAsia="宋体" w:hAnsi="宋体"/>
        </w:rPr>
      </w:pPr>
      <w:r w:rsidRPr="002C0B3D">
        <w:rPr>
          <w:rFonts w:ascii="宋体" w:eastAsia="宋体" w:hAnsi="宋体" w:hint="eastAsia"/>
        </w:rPr>
        <w:t>在数据预处理阶段，将课程</w:t>
      </w:r>
      <w:r>
        <w:rPr>
          <w:rFonts w:ascii="宋体" w:eastAsia="宋体" w:hAnsi="宋体" w:hint="eastAsia"/>
        </w:rPr>
        <w:t>按课程内容分为私教课、RB课、悬吊课、游泳、常规课、壶铃课、1级课、2级课和3级课这样9个大类别。这9个大类别下每个类别都分别有自己的小类别。</w:t>
      </w:r>
    </w:p>
    <w:p w:rsidR="00A21CE7" w:rsidRPr="002C0B3D" w:rsidRDefault="00A21CE7" w:rsidP="00A21CE7">
      <w:pPr>
        <w:pStyle w:val="a3"/>
        <w:ind w:left="1140"/>
        <w:rPr>
          <w:rFonts w:ascii="宋体" w:eastAsia="宋体" w:hAnsi="宋体"/>
        </w:rPr>
      </w:pPr>
      <w:r>
        <w:rPr>
          <w:rFonts w:ascii="宋体" w:eastAsia="宋体" w:hAnsi="宋体" w:hint="eastAsia"/>
        </w:rPr>
        <w:t>我们试图分析这个9个课程类别中哪些类别最受会员欢迎（即上课人数最多），以及这9个大类别下哪些小类别最受欢迎。</w:t>
      </w:r>
    </w:p>
    <w:p w:rsidR="00A21CE7" w:rsidRPr="00C63ED7" w:rsidRDefault="00A21CE7" w:rsidP="00A21CE7">
      <w:pPr>
        <w:rPr>
          <w:rFonts w:ascii="宋体" w:eastAsia="宋体" w:hAnsi="宋体"/>
        </w:rPr>
      </w:pPr>
    </w:p>
    <w:p w:rsidR="00A21CE7" w:rsidRPr="002C0B3D" w:rsidRDefault="00A21CE7" w:rsidP="00A21CE7">
      <w:pPr>
        <w:pStyle w:val="a3"/>
        <w:numPr>
          <w:ilvl w:val="0"/>
          <w:numId w:val="2"/>
        </w:numPr>
        <w:ind w:firstLineChars="0"/>
        <w:rPr>
          <w:rFonts w:ascii="宋体" w:eastAsia="宋体" w:hAnsi="宋体"/>
        </w:rPr>
      </w:pPr>
      <w:r w:rsidRPr="002C0B3D">
        <w:rPr>
          <w:rFonts w:ascii="宋体" w:eastAsia="宋体" w:hAnsi="宋体" w:hint="eastAsia"/>
        </w:rPr>
        <w:t>数据可视化结果</w:t>
      </w:r>
    </w:p>
    <w:p w:rsidR="00A21CE7" w:rsidRPr="002C0B3D" w:rsidRDefault="00A21CE7" w:rsidP="00A21CE7">
      <w:pPr>
        <w:pStyle w:val="a3"/>
        <w:rPr>
          <w:rFonts w:ascii="宋体" w:eastAsia="宋体" w:hAnsi="宋体"/>
        </w:rPr>
      </w:pPr>
    </w:p>
    <w:p w:rsidR="00A21CE7" w:rsidRPr="002C0B3D" w:rsidRDefault="00A21CE7" w:rsidP="00A21CE7">
      <w:pPr>
        <w:rPr>
          <w:rFonts w:ascii="宋体" w:eastAsia="宋体" w:hAnsi="宋体"/>
        </w:rPr>
      </w:pPr>
      <w:r w:rsidRPr="002C0B3D">
        <w:rPr>
          <w:rFonts w:ascii="宋体" w:eastAsia="宋体" w:hAnsi="宋体"/>
          <w:noProof/>
        </w:rPr>
        <w:drawing>
          <wp:inline distT="0" distB="0" distL="0" distR="0" wp14:anchorId="1918A453" wp14:editId="6164CEA1">
            <wp:extent cx="5274310" cy="186563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865630"/>
                    </a:xfrm>
                    <a:prstGeom prst="rect">
                      <a:avLst/>
                    </a:prstGeom>
                  </pic:spPr>
                </pic:pic>
              </a:graphicData>
            </a:graphic>
          </wp:inline>
        </w:drawing>
      </w:r>
    </w:p>
    <w:p w:rsidR="00A21CE7" w:rsidRDefault="00A21CE7" w:rsidP="00A21CE7">
      <w:pPr>
        <w:pStyle w:val="a3"/>
        <w:ind w:left="1140" w:firstLineChars="0" w:firstLine="0"/>
        <w:jc w:val="center"/>
        <w:rPr>
          <w:rFonts w:ascii="宋体" w:eastAsia="宋体" w:hAnsi="宋体"/>
        </w:rPr>
      </w:pPr>
      <w:r w:rsidRPr="002C0B3D">
        <w:rPr>
          <w:rFonts w:ascii="宋体" w:eastAsia="宋体" w:hAnsi="宋体" w:hint="eastAsia"/>
        </w:rPr>
        <w:t>图1：按课程大类来分健身人数百分比分布</w:t>
      </w:r>
    </w:p>
    <w:p w:rsidR="00A21CE7" w:rsidRPr="00C63ED7" w:rsidRDefault="00A21CE7" w:rsidP="00A21CE7">
      <w:pPr>
        <w:ind w:firstLineChars="200" w:firstLine="420"/>
        <w:rPr>
          <w:rFonts w:ascii="宋体" w:eastAsia="宋体" w:hAnsi="宋体"/>
        </w:rPr>
      </w:pPr>
      <w:r w:rsidRPr="00C63ED7">
        <w:rPr>
          <w:rFonts w:ascii="宋体" w:eastAsia="宋体" w:hAnsi="宋体" w:hint="eastAsia"/>
        </w:rPr>
        <w:t>从上图可以看出，私教课、</w:t>
      </w:r>
      <w:r>
        <w:rPr>
          <w:rFonts w:ascii="宋体" w:eastAsia="宋体" w:hAnsi="宋体" w:hint="eastAsia"/>
        </w:rPr>
        <w:t>RB</w:t>
      </w:r>
      <w:r w:rsidRPr="00C63ED7">
        <w:rPr>
          <w:rFonts w:ascii="宋体" w:eastAsia="宋体" w:hAnsi="宋体" w:hint="eastAsia"/>
        </w:rPr>
        <w:t>课和悬吊课这3个类别的课程上课人数最多，即这3个类别课程最受会员欢迎。</w:t>
      </w:r>
    </w:p>
    <w:p w:rsidR="00A21CE7" w:rsidRPr="002C0B3D" w:rsidRDefault="00A21CE7" w:rsidP="00A21CE7">
      <w:pPr>
        <w:rPr>
          <w:rFonts w:ascii="宋体" w:eastAsia="宋体" w:hAnsi="宋体"/>
        </w:rPr>
      </w:pPr>
      <w:r w:rsidRPr="002C0B3D">
        <w:rPr>
          <w:rFonts w:ascii="宋体" w:eastAsia="宋体" w:hAnsi="宋体"/>
          <w:noProof/>
        </w:rPr>
        <w:lastRenderedPageBreak/>
        <w:drawing>
          <wp:inline distT="0" distB="0" distL="0" distR="0" wp14:anchorId="7357E574" wp14:editId="0E0A93B9">
            <wp:extent cx="5274310" cy="27508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750820"/>
                    </a:xfrm>
                    <a:prstGeom prst="rect">
                      <a:avLst/>
                    </a:prstGeom>
                  </pic:spPr>
                </pic:pic>
              </a:graphicData>
            </a:graphic>
          </wp:inline>
        </w:drawing>
      </w:r>
    </w:p>
    <w:p w:rsidR="00A21CE7" w:rsidRDefault="00A21CE7" w:rsidP="00A21CE7">
      <w:pPr>
        <w:pStyle w:val="a3"/>
        <w:ind w:left="1140" w:firstLineChars="0" w:firstLine="0"/>
        <w:jc w:val="center"/>
        <w:rPr>
          <w:rFonts w:ascii="宋体" w:eastAsia="宋体" w:hAnsi="宋体"/>
        </w:rPr>
      </w:pPr>
      <w:r w:rsidRPr="002C0B3D">
        <w:rPr>
          <w:rFonts w:ascii="宋体" w:eastAsia="宋体" w:hAnsi="宋体" w:hint="eastAsia"/>
        </w:rPr>
        <w:t>图2：按课程小类来分健身人数分布</w:t>
      </w:r>
    </w:p>
    <w:p w:rsidR="00A21CE7" w:rsidRPr="00C63ED7" w:rsidRDefault="00A21CE7" w:rsidP="00A21CE7">
      <w:pPr>
        <w:ind w:firstLineChars="200" w:firstLine="420"/>
        <w:rPr>
          <w:rFonts w:ascii="宋体" w:eastAsia="宋体" w:hAnsi="宋体"/>
        </w:rPr>
      </w:pPr>
      <w:r>
        <w:rPr>
          <w:rFonts w:ascii="宋体" w:eastAsia="宋体" w:hAnsi="宋体" w:hint="eastAsia"/>
        </w:rPr>
        <w:t>在上图的展示中，每一个矩形色块代表着一种课程小类，且色块面积越大说明该课程小类别健身人数越多。因此，我们可以看出，私教常规课（续）、私教常规课F、RB课、悬吊课等课程小类别最受会员欢迎。</w:t>
      </w:r>
    </w:p>
    <w:p w:rsidR="00A21CE7" w:rsidRPr="002C0B3D" w:rsidRDefault="00A21CE7" w:rsidP="00A21CE7">
      <w:pPr>
        <w:rPr>
          <w:rFonts w:ascii="宋体" w:eastAsia="宋体" w:hAnsi="宋体"/>
        </w:rPr>
      </w:pPr>
      <w:r>
        <w:rPr>
          <w:noProof/>
        </w:rPr>
        <w:drawing>
          <wp:inline distT="0" distB="0" distL="0" distR="0" wp14:anchorId="46D1C7FE" wp14:editId="78F2466B">
            <wp:extent cx="5274310" cy="277812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778125"/>
                    </a:xfrm>
                    <a:prstGeom prst="rect">
                      <a:avLst/>
                    </a:prstGeom>
                  </pic:spPr>
                </pic:pic>
              </a:graphicData>
            </a:graphic>
          </wp:inline>
        </w:drawing>
      </w:r>
    </w:p>
    <w:p w:rsidR="00A21CE7" w:rsidRPr="002C0B3D" w:rsidRDefault="00A21CE7" w:rsidP="00A21CE7">
      <w:pPr>
        <w:pStyle w:val="a3"/>
        <w:ind w:left="1140" w:firstLineChars="0" w:firstLine="0"/>
        <w:jc w:val="center"/>
        <w:rPr>
          <w:rFonts w:ascii="宋体" w:eastAsia="宋体" w:hAnsi="宋体"/>
        </w:rPr>
      </w:pPr>
      <w:r w:rsidRPr="002C0B3D">
        <w:rPr>
          <w:rFonts w:ascii="宋体" w:eastAsia="宋体" w:hAnsi="宋体" w:hint="eastAsia"/>
        </w:rPr>
        <w:t>图3：课程大类下课程小类健身人数百分比分布</w:t>
      </w:r>
    </w:p>
    <w:p w:rsidR="00A21CE7" w:rsidRPr="00455FF9" w:rsidRDefault="00A21CE7" w:rsidP="00A21CE7">
      <w:pPr>
        <w:ind w:firstLineChars="200" w:firstLine="420"/>
        <w:rPr>
          <w:rFonts w:ascii="宋体" w:eastAsia="宋体" w:hAnsi="宋体"/>
        </w:rPr>
      </w:pPr>
      <w:r>
        <w:rPr>
          <w:rFonts w:ascii="宋体" w:eastAsia="宋体" w:hAnsi="宋体" w:hint="eastAsia"/>
        </w:rPr>
        <w:t>在上图的展示中，柱条的长度代表该类别健身人数占总人数的百分比。可以看出，私教课大类别下私教常规课（续）、私教常规课、私教常规课（F）的上课人数占比的最多；RB课大类别下RB课(新)、PB课（虚）的上课人数占比最多；悬吊课大类别下悬吊课（续）、悬吊课（新）的上课人数占比最多。</w:t>
      </w:r>
    </w:p>
    <w:p w:rsidR="00A21CE7" w:rsidRPr="002C0B3D" w:rsidRDefault="00A21CE7" w:rsidP="00A21CE7">
      <w:pPr>
        <w:pStyle w:val="a3"/>
        <w:numPr>
          <w:ilvl w:val="0"/>
          <w:numId w:val="2"/>
        </w:numPr>
        <w:ind w:firstLineChars="0"/>
        <w:rPr>
          <w:rFonts w:ascii="宋体" w:eastAsia="宋体" w:hAnsi="宋体"/>
        </w:rPr>
      </w:pPr>
      <w:r w:rsidRPr="002C0B3D">
        <w:rPr>
          <w:rFonts w:ascii="宋体" w:eastAsia="宋体" w:hAnsi="宋体" w:hint="eastAsia"/>
        </w:rPr>
        <w:t>结论</w:t>
      </w:r>
      <w:r>
        <w:rPr>
          <w:rFonts w:ascii="宋体" w:eastAsia="宋体" w:hAnsi="宋体" w:hint="eastAsia"/>
        </w:rPr>
        <w:t>或建议</w:t>
      </w:r>
    </w:p>
    <w:p w:rsidR="00A21CE7" w:rsidRPr="00455FF9" w:rsidRDefault="00A21CE7" w:rsidP="00A21CE7">
      <w:pPr>
        <w:pStyle w:val="a3"/>
        <w:numPr>
          <w:ilvl w:val="0"/>
          <w:numId w:val="11"/>
        </w:numPr>
        <w:ind w:left="0" w:firstLineChars="0" w:firstLine="420"/>
        <w:rPr>
          <w:rFonts w:ascii="宋体" w:eastAsia="宋体" w:hAnsi="宋体"/>
        </w:rPr>
      </w:pPr>
      <w:r w:rsidRPr="00455FF9">
        <w:rPr>
          <w:rFonts w:ascii="宋体" w:eastAsia="宋体" w:hAnsi="宋体" w:hint="eastAsia"/>
        </w:rPr>
        <w:t>保持私教课、RB课等类别课程的优势，加强对这些课程的宣传力度，力争将这两个类别的课程打造成本健身会所的金牌课程。</w:t>
      </w:r>
    </w:p>
    <w:p w:rsidR="00A21CE7" w:rsidRPr="00455FF9" w:rsidRDefault="00A21CE7" w:rsidP="00A21CE7">
      <w:pPr>
        <w:pStyle w:val="a3"/>
        <w:numPr>
          <w:ilvl w:val="0"/>
          <w:numId w:val="11"/>
        </w:numPr>
        <w:ind w:left="0" w:firstLineChars="0" w:firstLine="420"/>
        <w:rPr>
          <w:rFonts w:ascii="宋体" w:eastAsia="宋体" w:hAnsi="宋体"/>
        </w:rPr>
      </w:pPr>
      <w:r w:rsidRPr="00455FF9">
        <w:rPr>
          <w:rFonts w:ascii="宋体" w:eastAsia="宋体" w:hAnsi="宋体" w:hint="eastAsia"/>
        </w:rPr>
        <w:t>壶铃课、1级课、2级课和3级课等大类别课程的健身人数占比很低，考虑对这些课程的改进或者直接舍弃。</w:t>
      </w:r>
    </w:p>
    <w:p w:rsidR="00A21CE7" w:rsidRPr="00126648" w:rsidRDefault="00A21CE7" w:rsidP="00A21CE7">
      <w:pPr>
        <w:rPr>
          <w:rFonts w:ascii="宋体" w:eastAsia="宋体" w:hAnsi="宋体"/>
        </w:rPr>
      </w:pPr>
    </w:p>
    <w:p w:rsidR="00A21CE7" w:rsidRDefault="00A21CE7" w:rsidP="00A21CE7">
      <w:pPr>
        <w:pStyle w:val="3"/>
      </w:pPr>
      <w:bookmarkStart w:id="3" w:name="_Toc505601262"/>
      <w:r>
        <w:rPr>
          <w:rFonts w:hint="eastAsia"/>
        </w:rPr>
        <w:lastRenderedPageBreak/>
        <w:t>（2）教练带课情况分析</w:t>
      </w:r>
      <w:bookmarkEnd w:id="3"/>
    </w:p>
    <w:p w:rsidR="00A21CE7" w:rsidRDefault="00A21CE7" w:rsidP="00A21CE7">
      <w:pPr>
        <w:pStyle w:val="a3"/>
        <w:numPr>
          <w:ilvl w:val="0"/>
          <w:numId w:val="14"/>
        </w:numPr>
        <w:ind w:firstLineChars="0"/>
        <w:rPr>
          <w:rFonts w:ascii="宋体" w:eastAsia="宋体" w:hAnsi="宋体"/>
        </w:rPr>
      </w:pPr>
      <w:r w:rsidRPr="00F62D7E">
        <w:rPr>
          <w:rFonts w:ascii="宋体" w:eastAsia="宋体" w:hAnsi="宋体" w:hint="eastAsia"/>
        </w:rPr>
        <w:t>分析内容描述</w:t>
      </w:r>
    </w:p>
    <w:p w:rsidR="00A21CE7" w:rsidRPr="00F62D7E" w:rsidRDefault="00A21CE7" w:rsidP="00A21CE7">
      <w:pPr>
        <w:pStyle w:val="a3"/>
        <w:ind w:left="1140" w:firstLineChars="0" w:firstLine="0"/>
        <w:rPr>
          <w:rFonts w:ascii="宋体" w:eastAsia="宋体" w:hAnsi="宋体"/>
        </w:rPr>
      </w:pPr>
      <w:r>
        <w:rPr>
          <w:rFonts w:ascii="宋体" w:eastAsia="宋体" w:hAnsi="宋体" w:hint="eastAsia"/>
        </w:rPr>
        <w:t>分析教练带课数量等情况，判定业绩优秀的教练员。</w:t>
      </w:r>
    </w:p>
    <w:p w:rsidR="00A21CE7" w:rsidRDefault="00A21CE7" w:rsidP="00A21CE7">
      <w:pPr>
        <w:pStyle w:val="a3"/>
        <w:numPr>
          <w:ilvl w:val="0"/>
          <w:numId w:val="14"/>
        </w:numPr>
        <w:ind w:firstLineChars="0"/>
        <w:rPr>
          <w:rFonts w:ascii="宋体" w:eastAsia="宋体" w:hAnsi="宋体"/>
        </w:rPr>
      </w:pPr>
      <w:r w:rsidRPr="00F62D7E">
        <w:rPr>
          <w:rFonts w:ascii="宋体" w:eastAsia="宋体" w:hAnsi="宋体" w:hint="eastAsia"/>
        </w:rPr>
        <w:t>数据可视化结果</w:t>
      </w:r>
    </w:p>
    <w:p w:rsidR="00A21CE7" w:rsidRDefault="00A21CE7" w:rsidP="00A21CE7">
      <w:pPr>
        <w:rPr>
          <w:rFonts w:ascii="宋体" w:eastAsia="宋体" w:hAnsi="宋体"/>
        </w:rPr>
      </w:pPr>
      <w:r>
        <w:rPr>
          <w:noProof/>
        </w:rPr>
        <w:drawing>
          <wp:inline distT="0" distB="0" distL="0" distR="0" wp14:anchorId="01846D56" wp14:editId="50633676">
            <wp:extent cx="5274310" cy="2837815"/>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37815"/>
                    </a:xfrm>
                    <a:prstGeom prst="rect">
                      <a:avLst/>
                    </a:prstGeom>
                  </pic:spPr>
                </pic:pic>
              </a:graphicData>
            </a:graphic>
          </wp:inline>
        </w:drawing>
      </w:r>
    </w:p>
    <w:p w:rsidR="00A21CE7" w:rsidRDefault="00A21CE7" w:rsidP="00A21CE7">
      <w:pPr>
        <w:jc w:val="center"/>
        <w:rPr>
          <w:rFonts w:ascii="宋体" w:eastAsia="宋体" w:hAnsi="宋体"/>
        </w:rPr>
      </w:pPr>
      <w:r>
        <w:rPr>
          <w:rFonts w:ascii="宋体" w:eastAsia="宋体" w:hAnsi="宋体" w:hint="eastAsia"/>
        </w:rPr>
        <w:t>图4：教练带课数量情况统计图1</w:t>
      </w:r>
    </w:p>
    <w:p w:rsidR="00A21CE7" w:rsidRDefault="00A21CE7" w:rsidP="00A21CE7">
      <w:pPr>
        <w:rPr>
          <w:rFonts w:ascii="宋体" w:eastAsia="宋体" w:hAnsi="宋体"/>
        </w:rPr>
      </w:pPr>
      <w:r>
        <w:rPr>
          <w:noProof/>
        </w:rPr>
        <w:drawing>
          <wp:inline distT="0" distB="0" distL="0" distR="0" wp14:anchorId="092D2BE2" wp14:editId="24F921F8">
            <wp:extent cx="5274310" cy="283273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32735"/>
                    </a:xfrm>
                    <a:prstGeom prst="rect">
                      <a:avLst/>
                    </a:prstGeom>
                  </pic:spPr>
                </pic:pic>
              </a:graphicData>
            </a:graphic>
          </wp:inline>
        </w:drawing>
      </w:r>
    </w:p>
    <w:p w:rsidR="00A21CE7" w:rsidRPr="009B5690" w:rsidRDefault="00A21CE7" w:rsidP="00A21CE7">
      <w:pPr>
        <w:jc w:val="center"/>
        <w:rPr>
          <w:rFonts w:ascii="宋体" w:eastAsia="宋体" w:hAnsi="宋体"/>
        </w:rPr>
      </w:pPr>
      <w:r>
        <w:rPr>
          <w:rFonts w:ascii="宋体" w:eastAsia="宋体" w:hAnsi="宋体" w:hint="eastAsia"/>
        </w:rPr>
        <w:t>图5：教练带课数量情况统计图2</w:t>
      </w:r>
    </w:p>
    <w:p w:rsidR="00A21CE7" w:rsidRPr="00F62D7E" w:rsidRDefault="00A21CE7" w:rsidP="00A21CE7">
      <w:pPr>
        <w:ind w:firstLineChars="200" w:firstLine="420"/>
        <w:rPr>
          <w:rFonts w:ascii="宋体" w:eastAsia="宋体" w:hAnsi="宋体"/>
        </w:rPr>
      </w:pPr>
      <w:r>
        <w:rPr>
          <w:rFonts w:ascii="宋体" w:eastAsia="宋体" w:hAnsi="宋体" w:hint="eastAsia"/>
        </w:rPr>
        <w:t>不同颜色的色块代表不同的教练，色块面积越大，代表该教练带课次数越多，从图中可以看出，檄奇、龙清、冬冬等教练带课数量最多。</w:t>
      </w:r>
    </w:p>
    <w:p w:rsidR="00A21CE7" w:rsidRDefault="00A21CE7" w:rsidP="00A21CE7">
      <w:pPr>
        <w:pStyle w:val="a3"/>
        <w:numPr>
          <w:ilvl w:val="0"/>
          <w:numId w:val="14"/>
        </w:numPr>
        <w:ind w:firstLineChars="0"/>
        <w:rPr>
          <w:rFonts w:ascii="宋体" w:eastAsia="宋体" w:hAnsi="宋体"/>
        </w:rPr>
      </w:pPr>
      <w:r w:rsidRPr="00F62D7E">
        <w:rPr>
          <w:rFonts w:ascii="宋体" w:eastAsia="宋体" w:hAnsi="宋体" w:hint="eastAsia"/>
        </w:rPr>
        <w:t>结论或建议</w:t>
      </w:r>
    </w:p>
    <w:p w:rsidR="00A21CE7" w:rsidRPr="00D07544" w:rsidRDefault="00A21CE7" w:rsidP="00A21CE7">
      <w:pPr>
        <w:ind w:firstLineChars="200" w:firstLine="420"/>
        <w:rPr>
          <w:rFonts w:ascii="宋体" w:eastAsia="宋体" w:hAnsi="宋体"/>
        </w:rPr>
      </w:pPr>
      <w:r>
        <w:rPr>
          <w:rFonts w:ascii="宋体" w:eastAsia="宋体" w:hAnsi="宋体" w:hint="eastAsia"/>
        </w:rPr>
        <w:t>对于业绩优秀且续课率高的教练，给予一定奖励，总结其经验，分享给其他教练员。</w:t>
      </w:r>
    </w:p>
    <w:p w:rsidR="00A21CE7" w:rsidRPr="002C0B3D" w:rsidRDefault="00A21CE7" w:rsidP="00A21CE7">
      <w:pPr>
        <w:pStyle w:val="2"/>
        <w:rPr>
          <w:rFonts w:ascii="宋体" w:eastAsia="宋体" w:hAnsi="宋体"/>
        </w:rPr>
      </w:pPr>
      <w:bookmarkStart w:id="4" w:name="_Toc505601263"/>
      <w:r w:rsidRPr="002C0B3D">
        <w:rPr>
          <w:rFonts w:ascii="宋体" w:eastAsia="宋体" w:hAnsi="宋体" w:hint="eastAsia"/>
        </w:rPr>
        <w:lastRenderedPageBreak/>
        <w:t>2、会员出入场表</w:t>
      </w:r>
      <w:bookmarkEnd w:id="4"/>
    </w:p>
    <w:p w:rsidR="00A21CE7" w:rsidRPr="002C0B3D" w:rsidRDefault="00A21CE7" w:rsidP="00A21CE7">
      <w:pPr>
        <w:pStyle w:val="3"/>
        <w:rPr>
          <w:rFonts w:ascii="宋体" w:eastAsia="宋体" w:hAnsi="宋体"/>
        </w:rPr>
      </w:pPr>
      <w:bookmarkStart w:id="5" w:name="_Toc505601264"/>
      <w:r w:rsidRPr="002C0B3D">
        <w:rPr>
          <w:rFonts w:ascii="宋体" w:eastAsia="宋体" w:hAnsi="宋体" w:hint="eastAsia"/>
        </w:rPr>
        <w:t>（1）会员</w:t>
      </w:r>
      <w:r>
        <w:rPr>
          <w:rFonts w:ascii="宋体" w:eastAsia="宋体" w:hAnsi="宋体" w:hint="eastAsia"/>
        </w:rPr>
        <w:t>健身时间与健身时长</w:t>
      </w:r>
      <w:r w:rsidRPr="002C0B3D">
        <w:rPr>
          <w:rFonts w:ascii="宋体" w:eastAsia="宋体" w:hAnsi="宋体" w:hint="eastAsia"/>
        </w:rPr>
        <w:t>情况分析</w:t>
      </w:r>
      <w:bookmarkEnd w:id="5"/>
    </w:p>
    <w:p w:rsidR="00A21CE7" w:rsidRDefault="00A21CE7" w:rsidP="00A21CE7">
      <w:pPr>
        <w:pStyle w:val="a3"/>
        <w:numPr>
          <w:ilvl w:val="0"/>
          <w:numId w:val="6"/>
        </w:numPr>
        <w:ind w:firstLineChars="0"/>
        <w:rPr>
          <w:rFonts w:ascii="宋体" w:eastAsia="宋体" w:hAnsi="宋体"/>
        </w:rPr>
      </w:pPr>
      <w:r w:rsidRPr="002C0B3D">
        <w:rPr>
          <w:rFonts w:ascii="宋体" w:eastAsia="宋体" w:hAnsi="宋体" w:hint="eastAsia"/>
        </w:rPr>
        <w:t>分析内容描述</w:t>
      </w:r>
    </w:p>
    <w:p w:rsidR="00A21CE7" w:rsidRDefault="00A21CE7" w:rsidP="00A21CE7">
      <w:pPr>
        <w:ind w:firstLineChars="200" w:firstLine="420"/>
        <w:rPr>
          <w:rFonts w:ascii="宋体" w:eastAsia="宋体" w:hAnsi="宋体"/>
        </w:rPr>
      </w:pPr>
      <w:r w:rsidRPr="00455FF9">
        <w:rPr>
          <w:rFonts w:ascii="宋体" w:eastAsia="宋体" w:hAnsi="宋体" w:hint="eastAsia"/>
        </w:rPr>
        <w:t>分析了会员check_in和check</w:t>
      </w:r>
      <w:r w:rsidRPr="00455FF9">
        <w:rPr>
          <w:rFonts w:ascii="宋体" w:eastAsia="宋体" w:hAnsi="宋体"/>
        </w:rPr>
        <w:t>_out</w:t>
      </w:r>
      <w:r w:rsidRPr="00455FF9">
        <w:rPr>
          <w:rFonts w:ascii="宋体" w:eastAsia="宋体" w:hAnsi="宋体" w:hint="eastAsia"/>
        </w:rPr>
        <w:t>的时间段</w:t>
      </w:r>
      <w:r>
        <w:rPr>
          <w:rFonts w:ascii="宋体" w:eastAsia="宋体" w:hAnsi="宋体" w:hint="eastAsia"/>
        </w:rPr>
        <w:t>分布情况。从而了解会员喜好哪个时间段来健身。</w:t>
      </w:r>
    </w:p>
    <w:p w:rsidR="00A21CE7" w:rsidRPr="00455FF9" w:rsidRDefault="00A21CE7" w:rsidP="00A21CE7">
      <w:pPr>
        <w:ind w:firstLineChars="200" w:firstLine="420"/>
        <w:rPr>
          <w:rFonts w:ascii="宋体" w:eastAsia="宋体" w:hAnsi="宋体"/>
        </w:rPr>
      </w:pPr>
      <w:r>
        <w:rPr>
          <w:rFonts w:ascii="宋体" w:eastAsia="宋体" w:hAnsi="宋体" w:hint="eastAsia"/>
        </w:rPr>
        <w:t>同时也分析了一周之内从周二到周日这6天内哪一天的健身人数最多，以及会员的健身时长分布情况。</w:t>
      </w:r>
    </w:p>
    <w:p w:rsidR="00A21CE7" w:rsidRPr="002C0B3D" w:rsidRDefault="00A21CE7" w:rsidP="00A21CE7">
      <w:pPr>
        <w:pStyle w:val="a3"/>
        <w:numPr>
          <w:ilvl w:val="0"/>
          <w:numId w:val="6"/>
        </w:numPr>
        <w:ind w:firstLineChars="0"/>
        <w:rPr>
          <w:rFonts w:ascii="宋体" w:eastAsia="宋体" w:hAnsi="宋体"/>
        </w:rPr>
      </w:pPr>
      <w:r w:rsidRPr="002C0B3D">
        <w:rPr>
          <w:rFonts w:ascii="宋体" w:eastAsia="宋体" w:hAnsi="宋体" w:hint="eastAsia"/>
        </w:rPr>
        <w:t>数据可视化结果</w:t>
      </w:r>
    </w:p>
    <w:p w:rsidR="00A21CE7" w:rsidRPr="002C0B3D" w:rsidRDefault="00A21CE7" w:rsidP="00A21CE7">
      <w:pPr>
        <w:rPr>
          <w:rFonts w:ascii="宋体" w:eastAsia="宋体" w:hAnsi="宋体"/>
        </w:rPr>
      </w:pPr>
      <w:r w:rsidRPr="002C0B3D">
        <w:rPr>
          <w:rFonts w:ascii="宋体" w:eastAsia="宋体" w:hAnsi="宋体"/>
          <w:noProof/>
        </w:rPr>
        <w:drawing>
          <wp:inline distT="0" distB="0" distL="0" distR="0" wp14:anchorId="0498E8A9" wp14:editId="79224C65">
            <wp:extent cx="5274310" cy="27324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32405"/>
                    </a:xfrm>
                    <a:prstGeom prst="rect">
                      <a:avLst/>
                    </a:prstGeom>
                  </pic:spPr>
                </pic:pic>
              </a:graphicData>
            </a:graphic>
          </wp:inline>
        </w:drawing>
      </w:r>
    </w:p>
    <w:p w:rsidR="00A21CE7" w:rsidRDefault="00A21CE7" w:rsidP="00A21CE7">
      <w:pPr>
        <w:jc w:val="center"/>
        <w:rPr>
          <w:rFonts w:ascii="宋体" w:eastAsia="宋体" w:hAnsi="宋体"/>
        </w:rPr>
      </w:pPr>
      <w:r w:rsidRPr="002C0B3D">
        <w:rPr>
          <w:rFonts w:ascii="宋体" w:eastAsia="宋体" w:hAnsi="宋体" w:hint="eastAsia"/>
        </w:rPr>
        <w:t>图</w:t>
      </w:r>
      <w:r>
        <w:rPr>
          <w:rFonts w:ascii="宋体" w:eastAsia="宋体" w:hAnsi="宋体" w:hint="eastAsia"/>
        </w:rPr>
        <w:t>6</w:t>
      </w:r>
      <w:r w:rsidRPr="002C0B3D">
        <w:rPr>
          <w:rFonts w:ascii="宋体" w:eastAsia="宋体" w:hAnsi="宋体" w:hint="eastAsia"/>
        </w:rPr>
        <w:t>：会员健身时间段统计折线图</w:t>
      </w:r>
    </w:p>
    <w:p w:rsidR="00A21CE7" w:rsidRDefault="00A21CE7" w:rsidP="00A21CE7">
      <w:pPr>
        <w:ind w:firstLineChars="200" w:firstLine="420"/>
        <w:rPr>
          <w:rFonts w:ascii="宋体" w:eastAsia="宋体" w:hAnsi="宋体"/>
        </w:rPr>
      </w:pPr>
      <w:r>
        <w:rPr>
          <w:rFonts w:ascii="宋体" w:eastAsia="宋体" w:hAnsi="宋体" w:hint="eastAsia"/>
        </w:rPr>
        <w:t>从上图可以看出，健身房从最早从早上6点左右开始有会员来健身活动，晚上最迟到10点左右离开健身会所。在一天之内，会员来健身的高峰时间段大致为晚上7点到晚上9点这两两个小时内。且整体趋势来看晚上健身人数多于下午健身人数，下午健身人数多于上午健身人数，这与可能与会员白天需要上班的实际情况有关。</w:t>
      </w:r>
    </w:p>
    <w:p w:rsidR="00A21CE7" w:rsidRPr="002C0B3D" w:rsidRDefault="00A21CE7" w:rsidP="00A21CE7">
      <w:pPr>
        <w:rPr>
          <w:rFonts w:ascii="宋体" w:eastAsia="宋体" w:hAnsi="宋体"/>
        </w:rPr>
      </w:pPr>
      <w:r w:rsidRPr="002C0B3D">
        <w:rPr>
          <w:rFonts w:ascii="宋体" w:eastAsia="宋体" w:hAnsi="宋体"/>
          <w:noProof/>
        </w:rPr>
        <w:drawing>
          <wp:inline distT="0" distB="0" distL="0" distR="0" wp14:anchorId="33D9B6F4" wp14:editId="424C76A6">
            <wp:extent cx="5274310" cy="142430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424305"/>
                    </a:xfrm>
                    <a:prstGeom prst="rect">
                      <a:avLst/>
                    </a:prstGeom>
                  </pic:spPr>
                </pic:pic>
              </a:graphicData>
            </a:graphic>
          </wp:inline>
        </w:drawing>
      </w:r>
    </w:p>
    <w:p w:rsidR="00A21CE7" w:rsidRDefault="00A21CE7" w:rsidP="00A21CE7">
      <w:pPr>
        <w:jc w:val="center"/>
        <w:rPr>
          <w:rFonts w:ascii="宋体" w:eastAsia="宋体" w:hAnsi="宋体"/>
        </w:rPr>
      </w:pPr>
      <w:r w:rsidRPr="002C0B3D">
        <w:rPr>
          <w:rFonts w:ascii="宋体" w:eastAsia="宋体" w:hAnsi="宋体" w:hint="eastAsia"/>
        </w:rPr>
        <w:t>图</w:t>
      </w:r>
      <w:r>
        <w:rPr>
          <w:rFonts w:ascii="宋体" w:eastAsia="宋体" w:hAnsi="宋体" w:hint="eastAsia"/>
        </w:rPr>
        <w:t>7</w:t>
      </w:r>
      <w:r w:rsidRPr="002C0B3D">
        <w:rPr>
          <w:rFonts w:ascii="宋体" w:eastAsia="宋体" w:hAnsi="宋体" w:hint="eastAsia"/>
        </w:rPr>
        <w:t>：每周上课时间与健身人数关系分布柱状图</w:t>
      </w:r>
    </w:p>
    <w:p w:rsidR="00A21CE7" w:rsidRPr="004044FF" w:rsidRDefault="00A21CE7" w:rsidP="00A21CE7">
      <w:pPr>
        <w:ind w:firstLineChars="200" w:firstLine="420"/>
        <w:rPr>
          <w:rFonts w:ascii="宋体" w:eastAsia="宋体" w:hAnsi="宋体"/>
        </w:rPr>
      </w:pPr>
      <w:r>
        <w:rPr>
          <w:rFonts w:ascii="宋体" w:eastAsia="宋体" w:hAnsi="宋体" w:hint="eastAsia"/>
        </w:rPr>
        <w:t>从上图可以看出，一周之内选择周三来健身的会员人数最多，其次是周四和周二，而选择周日来健身的会员人数最少。</w:t>
      </w:r>
    </w:p>
    <w:p w:rsidR="00A21CE7" w:rsidRPr="002C0B3D" w:rsidRDefault="00A21CE7" w:rsidP="00A21CE7">
      <w:pPr>
        <w:rPr>
          <w:rFonts w:ascii="宋体" w:eastAsia="宋体" w:hAnsi="宋体"/>
        </w:rPr>
      </w:pPr>
      <w:r w:rsidRPr="002C0B3D">
        <w:rPr>
          <w:rFonts w:ascii="宋体" w:eastAsia="宋体" w:hAnsi="宋体"/>
          <w:noProof/>
        </w:rPr>
        <w:lastRenderedPageBreak/>
        <w:drawing>
          <wp:inline distT="0" distB="0" distL="0" distR="0" wp14:anchorId="0A708723" wp14:editId="19FD1279">
            <wp:extent cx="5274310" cy="265811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58110"/>
                    </a:xfrm>
                    <a:prstGeom prst="rect">
                      <a:avLst/>
                    </a:prstGeom>
                  </pic:spPr>
                </pic:pic>
              </a:graphicData>
            </a:graphic>
          </wp:inline>
        </w:drawing>
      </w:r>
    </w:p>
    <w:p w:rsidR="00A21CE7" w:rsidRDefault="00A21CE7" w:rsidP="00A21CE7">
      <w:pPr>
        <w:jc w:val="center"/>
        <w:rPr>
          <w:rFonts w:ascii="宋体" w:eastAsia="宋体" w:hAnsi="宋体"/>
        </w:rPr>
      </w:pPr>
      <w:r w:rsidRPr="002C0B3D">
        <w:rPr>
          <w:rFonts w:ascii="宋体" w:eastAsia="宋体" w:hAnsi="宋体" w:hint="eastAsia"/>
        </w:rPr>
        <w:t>图</w:t>
      </w:r>
      <w:r>
        <w:rPr>
          <w:rFonts w:ascii="宋体" w:eastAsia="宋体" w:hAnsi="宋体" w:hint="eastAsia"/>
        </w:rPr>
        <w:t>8</w:t>
      </w:r>
      <w:r w:rsidRPr="002C0B3D">
        <w:rPr>
          <w:rFonts w:ascii="宋体" w:eastAsia="宋体" w:hAnsi="宋体" w:hint="eastAsia"/>
        </w:rPr>
        <w:t>：健身时长与人数分布关系</w:t>
      </w:r>
    </w:p>
    <w:p w:rsidR="00A21CE7" w:rsidRPr="002C0B3D" w:rsidRDefault="00A21CE7" w:rsidP="00A21CE7">
      <w:pPr>
        <w:ind w:firstLineChars="200" w:firstLine="420"/>
        <w:rPr>
          <w:rFonts w:ascii="宋体" w:eastAsia="宋体" w:hAnsi="宋体"/>
        </w:rPr>
      </w:pPr>
      <w:r>
        <w:rPr>
          <w:rFonts w:ascii="宋体" w:eastAsia="宋体" w:hAnsi="宋体" w:hint="eastAsia"/>
        </w:rPr>
        <w:t>从上图可以看出，健身时长1小时左右的会员人数最多，且健身时长在3小时以内的会员占了绝大部分比重。</w:t>
      </w:r>
    </w:p>
    <w:p w:rsidR="00A21CE7" w:rsidRPr="002C0B3D" w:rsidRDefault="00A21CE7" w:rsidP="00A21CE7">
      <w:pPr>
        <w:rPr>
          <w:rFonts w:ascii="宋体" w:eastAsia="宋体" w:hAnsi="宋体"/>
        </w:rPr>
      </w:pPr>
      <w:r w:rsidRPr="002C0B3D">
        <w:rPr>
          <w:rFonts w:ascii="宋体" w:eastAsia="宋体" w:hAnsi="宋体"/>
          <w:noProof/>
        </w:rPr>
        <w:drawing>
          <wp:inline distT="0" distB="0" distL="0" distR="0" wp14:anchorId="1CBA6DBF" wp14:editId="3710FE4C">
            <wp:extent cx="5274310" cy="26892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89225"/>
                    </a:xfrm>
                    <a:prstGeom prst="rect">
                      <a:avLst/>
                    </a:prstGeom>
                  </pic:spPr>
                </pic:pic>
              </a:graphicData>
            </a:graphic>
          </wp:inline>
        </w:drawing>
      </w:r>
    </w:p>
    <w:p w:rsidR="00A21CE7" w:rsidRDefault="00A21CE7" w:rsidP="00A21CE7">
      <w:pPr>
        <w:jc w:val="center"/>
        <w:rPr>
          <w:rFonts w:ascii="宋体" w:eastAsia="宋体" w:hAnsi="宋体"/>
        </w:rPr>
      </w:pPr>
      <w:r w:rsidRPr="002C0B3D">
        <w:rPr>
          <w:rFonts w:ascii="宋体" w:eastAsia="宋体" w:hAnsi="宋体" w:hint="eastAsia"/>
        </w:rPr>
        <w:t>图</w:t>
      </w:r>
      <w:r>
        <w:rPr>
          <w:rFonts w:ascii="宋体" w:eastAsia="宋体" w:hAnsi="宋体" w:hint="eastAsia"/>
        </w:rPr>
        <w:t>9</w:t>
      </w:r>
      <w:r w:rsidRPr="002C0B3D">
        <w:rPr>
          <w:rFonts w:ascii="宋体" w:eastAsia="宋体" w:hAnsi="宋体" w:hint="eastAsia"/>
        </w:rPr>
        <w:t>：每周一天内健身时间段与人数统计关系折线图</w:t>
      </w:r>
    </w:p>
    <w:p w:rsidR="00A21CE7" w:rsidRPr="002C0B3D" w:rsidRDefault="00A21CE7" w:rsidP="00A21CE7">
      <w:pPr>
        <w:ind w:firstLineChars="200" w:firstLine="420"/>
        <w:rPr>
          <w:rFonts w:ascii="宋体" w:eastAsia="宋体" w:hAnsi="宋体"/>
        </w:rPr>
      </w:pPr>
      <w:r>
        <w:rPr>
          <w:rFonts w:ascii="宋体" w:eastAsia="宋体" w:hAnsi="宋体" w:hint="eastAsia"/>
        </w:rPr>
        <w:t>从上图可以看出，一周之内的每一天会员健身时长与总体健身时长分布趋势一致，即健身时长1小时左右的会员人数最多，且健身时长在3小时以内的会员占了绝大部分比重。</w:t>
      </w:r>
    </w:p>
    <w:p w:rsidR="00A21CE7" w:rsidRDefault="00A21CE7" w:rsidP="00A21CE7">
      <w:pPr>
        <w:pStyle w:val="a3"/>
        <w:numPr>
          <w:ilvl w:val="0"/>
          <w:numId w:val="6"/>
        </w:numPr>
        <w:ind w:firstLineChars="0"/>
        <w:rPr>
          <w:rFonts w:ascii="宋体" w:eastAsia="宋体" w:hAnsi="宋体"/>
        </w:rPr>
      </w:pPr>
      <w:r w:rsidRPr="002C0B3D">
        <w:rPr>
          <w:rFonts w:ascii="宋体" w:eastAsia="宋体" w:hAnsi="宋体" w:hint="eastAsia"/>
        </w:rPr>
        <w:t>结论</w:t>
      </w:r>
      <w:r>
        <w:rPr>
          <w:rFonts w:ascii="宋体" w:eastAsia="宋体" w:hAnsi="宋体" w:hint="eastAsia"/>
        </w:rPr>
        <w:t>或建议</w:t>
      </w:r>
    </w:p>
    <w:p w:rsidR="00A21CE7" w:rsidRPr="00AE6709" w:rsidRDefault="00A21CE7" w:rsidP="00A21CE7">
      <w:pPr>
        <w:ind w:firstLineChars="200" w:firstLine="420"/>
        <w:rPr>
          <w:rFonts w:ascii="宋体" w:eastAsia="宋体" w:hAnsi="宋体"/>
        </w:rPr>
      </w:pPr>
      <w:r>
        <w:rPr>
          <w:rFonts w:ascii="宋体" w:eastAsia="宋体" w:hAnsi="宋体" w:hint="eastAsia"/>
        </w:rPr>
        <w:t>1)</w:t>
      </w:r>
      <w:r w:rsidRPr="00AE6709">
        <w:rPr>
          <w:rFonts w:ascii="宋体" w:eastAsia="宋体" w:hAnsi="宋体" w:hint="eastAsia"/>
        </w:rPr>
        <w:t>在健身教练与其他工作人员的工作时间安排上，晚上排班所需人手最多，上午排班所需人数最少；周三、周四、周二这三天的排班所需人手最多，周日的排班所需人手最少。</w:t>
      </w:r>
    </w:p>
    <w:p w:rsidR="00A21CE7" w:rsidRPr="00AE6709" w:rsidRDefault="00A21CE7" w:rsidP="00A21CE7">
      <w:pPr>
        <w:ind w:firstLineChars="200" w:firstLine="420"/>
        <w:rPr>
          <w:rFonts w:ascii="宋体" w:eastAsia="宋体" w:hAnsi="宋体"/>
        </w:rPr>
      </w:pPr>
      <w:r>
        <w:rPr>
          <w:rFonts w:ascii="宋体" w:eastAsia="宋体" w:hAnsi="宋体"/>
        </w:rPr>
        <w:t>2)</w:t>
      </w:r>
      <w:r w:rsidRPr="00AE6709">
        <w:rPr>
          <w:rFonts w:ascii="宋体" w:eastAsia="宋体" w:hAnsi="宋体" w:hint="eastAsia"/>
        </w:rPr>
        <w:t>对于上午来健身的会员给予一定折扣或其他优惠政策，这样一来可以吸引上午有空闲时间但是仍然选择晚上或下午来健身的会员，从而一定程度上使得健身房资源得到充分利用且缓解了晚上繁忙的健身活动压力。</w:t>
      </w:r>
    </w:p>
    <w:p w:rsidR="00A21CE7" w:rsidRDefault="00A21CE7" w:rsidP="00A21CE7">
      <w:pPr>
        <w:pStyle w:val="a3"/>
        <w:ind w:left="360"/>
        <w:rPr>
          <w:rFonts w:ascii="宋体" w:eastAsia="宋体" w:hAnsi="宋体"/>
        </w:rPr>
      </w:pPr>
      <w:r>
        <w:rPr>
          <w:rFonts w:ascii="宋体" w:eastAsia="宋体" w:hAnsi="宋体" w:hint="eastAsia"/>
        </w:rPr>
        <w:t>对于周末来健身的会员也给予一定折扣或其他优惠政策，原因同上。</w:t>
      </w:r>
    </w:p>
    <w:p w:rsidR="00A21CE7" w:rsidRPr="00AE6709" w:rsidRDefault="00A21CE7" w:rsidP="00A21CE7">
      <w:pPr>
        <w:ind w:firstLineChars="200" w:firstLine="420"/>
        <w:rPr>
          <w:rFonts w:ascii="宋体" w:eastAsia="宋体" w:hAnsi="宋体"/>
        </w:rPr>
      </w:pPr>
      <w:r>
        <w:rPr>
          <w:rFonts w:ascii="宋体" w:eastAsia="宋体" w:hAnsi="宋体" w:hint="eastAsia"/>
        </w:rPr>
        <w:t>3</w:t>
      </w:r>
      <w:r>
        <w:rPr>
          <w:rFonts w:ascii="宋体" w:eastAsia="宋体" w:hAnsi="宋体"/>
        </w:rPr>
        <w:t>)</w:t>
      </w:r>
      <w:r>
        <w:rPr>
          <w:rFonts w:ascii="宋体" w:eastAsia="宋体" w:hAnsi="宋体" w:hint="eastAsia"/>
        </w:rPr>
        <w:t>在进行课程安排时，尽量将课程时间控制在1小时上下，因为1小时左右的健身时间对会员来说最容易接受，从而提高上课效率与会员满意度。</w:t>
      </w:r>
    </w:p>
    <w:p w:rsidR="00A21CE7" w:rsidRPr="002C0B3D" w:rsidRDefault="00A21CE7" w:rsidP="00A21CE7">
      <w:pPr>
        <w:pStyle w:val="2"/>
        <w:rPr>
          <w:rFonts w:ascii="宋体" w:eastAsia="宋体" w:hAnsi="宋体"/>
        </w:rPr>
      </w:pPr>
      <w:bookmarkStart w:id="6" w:name="_Toc505601265"/>
      <w:r w:rsidRPr="002C0B3D">
        <w:rPr>
          <w:rFonts w:ascii="宋体" w:eastAsia="宋体" w:hAnsi="宋体" w:hint="eastAsia"/>
        </w:rPr>
        <w:lastRenderedPageBreak/>
        <w:t>3、会员出入场表与mem</w:t>
      </w:r>
      <w:r w:rsidRPr="002C0B3D">
        <w:rPr>
          <w:rFonts w:ascii="宋体" w:eastAsia="宋体" w:hAnsi="宋体"/>
        </w:rPr>
        <w:t>bership_</w:t>
      </w:r>
      <w:r w:rsidRPr="002C0B3D">
        <w:rPr>
          <w:rFonts w:ascii="宋体" w:eastAsia="宋体" w:hAnsi="宋体" w:hint="eastAsia"/>
        </w:rPr>
        <w:t>card表连接表</w:t>
      </w:r>
      <w:bookmarkEnd w:id="6"/>
    </w:p>
    <w:p w:rsidR="00A21CE7" w:rsidRPr="002C0B3D" w:rsidRDefault="00A21CE7" w:rsidP="00A21CE7">
      <w:pPr>
        <w:pStyle w:val="3"/>
        <w:rPr>
          <w:rFonts w:ascii="宋体" w:eastAsia="宋体" w:hAnsi="宋体"/>
        </w:rPr>
      </w:pPr>
      <w:bookmarkStart w:id="7" w:name="_Toc505601266"/>
      <w:r w:rsidRPr="002C0B3D">
        <w:rPr>
          <w:rFonts w:ascii="宋体" w:eastAsia="宋体" w:hAnsi="宋体" w:hint="eastAsia"/>
        </w:rPr>
        <w:t>（</w:t>
      </w:r>
      <w:r w:rsidRPr="002C0B3D">
        <w:rPr>
          <w:rFonts w:ascii="宋体" w:eastAsia="宋体" w:hAnsi="宋体"/>
        </w:rPr>
        <w:t>1）</w:t>
      </w:r>
      <w:r w:rsidRPr="002C0B3D">
        <w:rPr>
          <w:rFonts w:ascii="宋体" w:eastAsia="宋体" w:hAnsi="宋体" w:hint="eastAsia"/>
        </w:rPr>
        <w:t>会员卡种与会员人数</w:t>
      </w:r>
      <w:r w:rsidRPr="002C0B3D">
        <w:rPr>
          <w:rFonts w:ascii="宋体" w:eastAsia="宋体" w:hAnsi="宋体"/>
        </w:rPr>
        <w:t>分析</w:t>
      </w:r>
      <w:bookmarkEnd w:id="7"/>
    </w:p>
    <w:p w:rsidR="00A21CE7" w:rsidRDefault="00A21CE7" w:rsidP="00A21CE7">
      <w:pPr>
        <w:pStyle w:val="a3"/>
        <w:numPr>
          <w:ilvl w:val="0"/>
          <w:numId w:val="7"/>
        </w:numPr>
        <w:ind w:firstLineChars="0"/>
        <w:rPr>
          <w:rFonts w:ascii="宋体" w:eastAsia="宋体" w:hAnsi="宋体"/>
        </w:rPr>
      </w:pPr>
      <w:r w:rsidRPr="002C0B3D">
        <w:rPr>
          <w:rFonts w:ascii="宋体" w:eastAsia="宋体" w:hAnsi="宋体"/>
        </w:rPr>
        <w:t>分析内容描述</w:t>
      </w:r>
    </w:p>
    <w:p w:rsidR="00A21CE7" w:rsidRPr="00AE6709" w:rsidRDefault="00A21CE7" w:rsidP="00A21CE7">
      <w:pPr>
        <w:ind w:firstLineChars="200" w:firstLine="420"/>
        <w:rPr>
          <w:rFonts w:ascii="宋体" w:eastAsia="宋体" w:hAnsi="宋体"/>
        </w:rPr>
      </w:pPr>
      <w:r>
        <w:rPr>
          <w:rFonts w:ascii="宋体" w:eastAsia="宋体" w:hAnsi="宋体" w:hint="eastAsia"/>
        </w:rPr>
        <w:t>根据数据源，会员的会员卡可分为健身卡、团操卡、武道卡和游泳卡这四个类别，我们分析了这4个类别的卡种的会员人数分布情况。</w:t>
      </w:r>
    </w:p>
    <w:p w:rsidR="00A21CE7" w:rsidRPr="002C0B3D" w:rsidRDefault="00A21CE7" w:rsidP="00A21CE7">
      <w:pPr>
        <w:pStyle w:val="a3"/>
        <w:numPr>
          <w:ilvl w:val="0"/>
          <w:numId w:val="7"/>
        </w:numPr>
        <w:ind w:firstLineChars="0"/>
        <w:rPr>
          <w:rFonts w:ascii="宋体" w:eastAsia="宋体" w:hAnsi="宋体"/>
        </w:rPr>
      </w:pPr>
      <w:r w:rsidRPr="002C0B3D">
        <w:rPr>
          <w:rFonts w:ascii="宋体" w:eastAsia="宋体" w:hAnsi="宋体"/>
        </w:rPr>
        <w:t>数据可视化结果</w:t>
      </w:r>
    </w:p>
    <w:p w:rsidR="00A21CE7" w:rsidRPr="002C0B3D" w:rsidRDefault="00A21CE7" w:rsidP="00A21CE7">
      <w:pPr>
        <w:rPr>
          <w:rFonts w:ascii="宋体" w:eastAsia="宋体" w:hAnsi="宋体"/>
        </w:rPr>
      </w:pPr>
      <w:r w:rsidRPr="002C0B3D">
        <w:rPr>
          <w:rFonts w:ascii="宋体" w:eastAsia="宋体" w:hAnsi="宋体"/>
          <w:noProof/>
        </w:rPr>
        <w:drawing>
          <wp:inline distT="0" distB="0" distL="0" distR="0" wp14:anchorId="21F86F25" wp14:editId="52CCA77F">
            <wp:extent cx="5274310" cy="275907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59075"/>
                    </a:xfrm>
                    <a:prstGeom prst="rect">
                      <a:avLst/>
                    </a:prstGeom>
                  </pic:spPr>
                </pic:pic>
              </a:graphicData>
            </a:graphic>
          </wp:inline>
        </w:drawing>
      </w:r>
    </w:p>
    <w:p w:rsidR="00A21CE7" w:rsidRDefault="00A21CE7" w:rsidP="00A21CE7">
      <w:pPr>
        <w:jc w:val="center"/>
        <w:rPr>
          <w:rFonts w:ascii="宋体" w:eastAsia="宋体" w:hAnsi="宋体"/>
        </w:rPr>
      </w:pPr>
      <w:r w:rsidRPr="002C0B3D">
        <w:rPr>
          <w:rFonts w:ascii="宋体" w:eastAsia="宋体" w:hAnsi="宋体" w:hint="eastAsia"/>
        </w:rPr>
        <w:t>图</w:t>
      </w:r>
      <w:r>
        <w:rPr>
          <w:rFonts w:ascii="宋体" w:eastAsia="宋体" w:hAnsi="宋体" w:hint="eastAsia"/>
        </w:rPr>
        <w:t>10</w:t>
      </w:r>
      <w:r w:rsidRPr="002C0B3D">
        <w:rPr>
          <w:rFonts w:ascii="宋体" w:eastAsia="宋体" w:hAnsi="宋体" w:hint="eastAsia"/>
        </w:rPr>
        <w:t>：会员卡种人数分布图</w:t>
      </w:r>
    </w:p>
    <w:p w:rsidR="00A21CE7" w:rsidRPr="002C0B3D" w:rsidRDefault="00A21CE7" w:rsidP="00A21CE7">
      <w:pPr>
        <w:ind w:firstLineChars="200" w:firstLine="420"/>
        <w:rPr>
          <w:rFonts w:ascii="宋体" w:eastAsia="宋体" w:hAnsi="宋体"/>
        </w:rPr>
      </w:pPr>
      <w:r>
        <w:rPr>
          <w:rFonts w:ascii="宋体" w:eastAsia="宋体" w:hAnsi="宋体" w:hint="eastAsia"/>
        </w:rPr>
        <w:t>如上图所示，4个卡种类别中，办理健身卡的会员人数最多，而在健身卡类别下，普通会籍卡的办理会员人数最多，其他如家庭卡、业主卡、非高峰卡这三种卡的办理人数大致相当，且远低于普通会籍卡。而团操卡、武道卡和游泳卡这3种卡的类别下只有普通会籍卡。</w:t>
      </w:r>
    </w:p>
    <w:p w:rsidR="00A21CE7" w:rsidRPr="002C0B3D" w:rsidRDefault="00A21CE7" w:rsidP="00A21CE7">
      <w:pPr>
        <w:pStyle w:val="a3"/>
        <w:numPr>
          <w:ilvl w:val="0"/>
          <w:numId w:val="7"/>
        </w:numPr>
        <w:ind w:firstLineChars="0"/>
        <w:rPr>
          <w:rFonts w:ascii="宋体" w:eastAsia="宋体" w:hAnsi="宋体"/>
        </w:rPr>
      </w:pPr>
      <w:r w:rsidRPr="002C0B3D">
        <w:rPr>
          <w:rFonts w:ascii="宋体" w:eastAsia="宋体" w:hAnsi="宋体" w:hint="eastAsia"/>
        </w:rPr>
        <w:t>结论</w:t>
      </w:r>
      <w:r>
        <w:rPr>
          <w:rFonts w:ascii="宋体" w:eastAsia="宋体" w:hAnsi="宋体" w:hint="eastAsia"/>
        </w:rPr>
        <w:t>或建议</w:t>
      </w:r>
    </w:p>
    <w:p w:rsidR="00A21CE7" w:rsidRPr="00AE6709" w:rsidRDefault="00A21CE7" w:rsidP="00A21CE7">
      <w:pPr>
        <w:ind w:firstLineChars="200" w:firstLine="420"/>
        <w:rPr>
          <w:rFonts w:ascii="宋体" w:eastAsia="宋体" w:hAnsi="宋体"/>
        </w:rPr>
      </w:pPr>
      <w:r>
        <w:rPr>
          <w:rFonts w:ascii="宋体" w:eastAsia="宋体" w:hAnsi="宋体" w:hint="eastAsia"/>
        </w:rPr>
        <w:t>1）尝试做一些优惠活动以提高家庭卡、业主卡等卡种的办理人数。</w:t>
      </w:r>
    </w:p>
    <w:p w:rsidR="00A21CE7" w:rsidRPr="002C0B3D" w:rsidRDefault="00A21CE7" w:rsidP="00A21CE7">
      <w:pPr>
        <w:pStyle w:val="2"/>
        <w:rPr>
          <w:rFonts w:ascii="宋体" w:eastAsia="宋体" w:hAnsi="宋体"/>
        </w:rPr>
      </w:pPr>
      <w:bookmarkStart w:id="8" w:name="_Toc505601267"/>
      <w:r w:rsidRPr="002C0B3D">
        <w:rPr>
          <w:rFonts w:ascii="宋体" w:eastAsia="宋体" w:hAnsi="宋体" w:hint="eastAsia"/>
        </w:rPr>
        <w:t>4、会员出入场表与会所表连接表</w:t>
      </w:r>
      <w:bookmarkEnd w:id="8"/>
    </w:p>
    <w:p w:rsidR="00A21CE7" w:rsidRPr="002C0B3D" w:rsidRDefault="00A21CE7" w:rsidP="00A21CE7">
      <w:pPr>
        <w:pStyle w:val="3"/>
        <w:rPr>
          <w:rFonts w:ascii="宋体" w:eastAsia="宋体" w:hAnsi="宋体"/>
        </w:rPr>
      </w:pPr>
      <w:r w:rsidRPr="002C0B3D">
        <w:rPr>
          <w:rFonts w:ascii="宋体" w:eastAsia="宋体" w:hAnsi="宋体" w:hint="eastAsia"/>
        </w:rPr>
        <w:t xml:space="preserve"> </w:t>
      </w:r>
      <w:bookmarkStart w:id="9" w:name="_Toc505601268"/>
      <w:r>
        <w:rPr>
          <w:rFonts w:ascii="宋体" w:eastAsia="宋体" w:hAnsi="宋体" w:hint="eastAsia"/>
        </w:rPr>
        <w:t>(1</w:t>
      </w:r>
      <w:r w:rsidRPr="002C0B3D">
        <w:rPr>
          <w:rFonts w:ascii="宋体" w:eastAsia="宋体" w:hAnsi="宋体" w:hint="eastAsia"/>
        </w:rPr>
        <w:t>)健身会所区域所属与会员健身时间分析</w:t>
      </w:r>
      <w:bookmarkEnd w:id="9"/>
    </w:p>
    <w:p w:rsidR="00A21CE7" w:rsidRDefault="00A21CE7" w:rsidP="00A21CE7">
      <w:pPr>
        <w:pStyle w:val="a3"/>
        <w:numPr>
          <w:ilvl w:val="0"/>
          <w:numId w:val="9"/>
        </w:numPr>
        <w:ind w:firstLineChars="0"/>
        <w:rPr>
          <w:rFonts w:ascii="宋体" w:eastAsia="宋体" w:hAnsi="宋体"/>
        </w:rPr>
      </w:pPr>
      <w:r w:rsidRPr="002C0B3D">
        <w:rPr>
          <w:rFonts w:ascii="宋体" w:eastAsia="宋体" w:hAnsi="宋体" w:hint="eastAsia"/>
        </w:rPr>
        <w:t>分析内容描述</w:t>
      </w:r>
    </w:p>
    <w:p w:rsidR="00A21CE7" w:rsidRPr="00107E12" w:rsidRDefault="00A21CE7" w:rsidP="00A21CE7">
      <w:pPr>
        <w:ind w:firstLineChars="200" w:firstLine="420"/>
        <w:rPr>
          <w:rFonts w:ascii="宋体" w:eastAsia="宋体" w:hAnsi="宋体"/>
        </w:rPr>
      </w:pPr>
      <w:r>
        <w:rPr>
          <w:rFonts w:ascii="宋体" w:eastAsia="宋体" w:hAnsi="宋体" w:hint="eastAsia"/>
        </w:rPr>
        <w:t>根据数据源，健身房所在地分布区域可以分为BJ</w:t>
      </w:r>
      <w:r>
        <w:rPr>
          <w:rFonts w:ascii="宋体" w:eastAsia="宋体" w:hAnsi="宋体"/>
        </w:rPr>
        <w:t>(</w:t>
      </w:r>
      <w:r>
        <w:rPr>
          <w:rFonts w:ascii="宋体" w:eastAsia="宋体" w:hAnsi="宋体" w:hint="eastAsia"/>
        </w:rPr>
        <w:t>北京</w:t>
      </w:r>
      <w:r>
        <w:rPr>
          <w:rFonts w:ascii="宋体" w:eastAsia="宋体" w:hAnsi="宋体"/>
        </w:rPr>
        <w:t>)</w:t>
      </w:r>
      <w:r>
        <w:rPr>
          <w:rFonts w:ascii="宋体" w:eastAsia="宋体" w:hAnsi="宋体" w:hint="eastAsia"/>
        </w:rPr>
        <w:t>、SH</w:t>
      </w:r>
      <w:r>
        <w:rPr>
          <w:rFonts w:ascii="宋体" w:eastAsia="宋体" w:hAnsi="宋体"/>
        </w:rPr>
        <w:t>(</w:t>
      </w:r>
      <w:r>
        <w:rPr>
          <w:rFonts w:ascii="宋体" w:eastAsia="宋体" w:hAnsi="宋体" w:hint="eastAsia"/>
        </w:rPr>
        <w:t>上海</w:t>
      </w:r>
      <w:r>
        <w:rPr>
          <w:rFonts w:ascii="宋体" w:eastAsia="宋体" w:hAnsi="宋体"/>
        </w:rPr>
        <w:t>)</w:t>
      </w:r>
      <w:r>
        <w:rPr>
          <w:rFonts w:ascii="宋体" w:eastAsia="宋体" w:hAnsi="宋体" w:hint="eastAsia"/>
        </w:rPr>
        <w:t>、zj（浙江）和OT</w:t>
      </w:r>
      <w:r>
        <w:rPr>
          <w:rFonts w:ascii="宋体" w:eastAsia="宋体" w:hAnsi="宋体"/>
        </w:rPr>
        <w:t>(</w:t>
      </w:r>
      <w:r>
        <w:rPr>
          <w:rFonts w:ascii="宋体" w:eastAsia="宋体" w:hAnsi="宋体" w:hint="eastAsia"/>
        </w:rPr>
        <w:t>其他地区</w:t>
      </w:r>
      <w:r>
        <w:rPr>
          <w:rFonts w:ascii="宋体" w:eastAsia="宋体" w:hAnsi="宋体"/>
        </w:rPr>
        <w:t>)</w:t>
      </w:r>
      <w:r>
        <w:rPr>
          <w:rFonts w:ascii="宋体" w:eastAsia="宋体" w:hAnsi="宋体" w:hint="eastAsia"/>
        </w:rPr>
        <w:t>这4个区域范围。我们分析了不同区域的会员健身时间与健身时长分分布关系。</w:t>
      </w:r>
    </w:p>
    <w:p w:rsidR="00A21CE7" w:rsidRPr="002C0B3D" w:rsidRDefault="00A21CE7" w:rsidP="00A21CE7">
      <w:pPr>
        <w:pStyle w:val="a3"/>
        <w:numPr>
          <w:ilvl w:val="0"/>
          <w:numId w:val="9"/>
        </w:numPr>
        <w:ind w:firstLineChars="0"/>
        <w:rPr>
          <w:rFonts w:ascii="宋体" w:eastAsia="宋体" w:hAnsi="宋体"/>
        </w:rPr>
      </w:pPr>
      <w:r w:rsidRPr="002C0B3D">
        <w:rPr>
          <w:rFonts w:ascii="宋体" w:eastAsia="宋体" w:hAnsi="宋体" w:hint="eastAsia"/>
        </w:rPr>
        <w:t>数据可视化结果</w:t>
      </w:r>
    </w:p>
    <w:p w:rsidR="00A21CE7" w:rsidRPr="002C0B3D" w:rsidRDefault="00A21CE7" w:rsidP="00A21CE7">
      <w:pPr>
        <w:rPr>
          <w:rFonts w:ascii="宋体" w:eastAsia="宋体" w:hAnsi="宋体"/>
        </w:rPr>
      </w:pPr>
      <w:r w:rsidRPr="002C0B3D">
        <w:rPr>
          <w:rFonts w:ascii="宋体" w:eastAsia="宋体" w:hAnsi="宋体"/>
          <w:noProof/>
        </w:rPr>
        <w:lastRenderedPageBreak/>
        <w:drawing>
          <wp:inline distT="0" distB="0" distL="0" distR="0" wp14:anchorId="104290CD" wp14:editId="64B9BDE5">
            <wp:extent cx="5274310" cy="272542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25420"/>
                    </a:xfrm>
                    <a:prstGeom prst="rect">
                      <a:avLst/>
                    </a:prstGeom>
                  </pic:spPr>
                </pic:pic>
              </a:graphicData>
            </a:graphic>
          </wp:inline>
        </w:drawing>
      </w:r>
    </w:p>
    <w:p w:rsidR="00A21CE7" w:rsidRDefault="00A21CE7" w:rsidP="00A21CE7">
      <w:pPr>
        <w:jc w:val="center"/>
        <w:rPr>
          <w:rFonts w:ascii="宋体" w:eastAsia="宋体" w:hAnsi="宋体"/>
        </w:rPr>
      </w:pPr>
      <w:r w:rsidRPr="002C0B3D">
        <w:rPr>
          <w:rFonts w:ascii="宋体" w:eastAsia="宋体" w:hAnsi="宋体" w:hint="eastAsia"/>
        </w:rPr>
        <w:t>图</w:t>
      </w:r>
      <w:r>
        <w:rPr>
          <w:rFonts w:ascii="宋体" w:eastAsia="宋体" w:hAnsi="宋体" w:hint="eastAsia"/>
        </w:rPr>
        <w:t>11</w:t>
      </w:r>
      <w:r w:rsidRPr="002C0B3D">
        <w:rPr>
          <w:rFonts w:ascii="宋体" w:eastAsia="宋体" w:hAnsi="宋体" w:hint="eastAsia"/>
        </w:rPr>
        <w:t>：健身会所区域与会员健身时长关系折线图</w:t>
      </w:r>
    </w:p>
    <w:p w:rsidR="00A21CE7" w:rsidRPr="002C0B3D" w:rsidRDefault="00A21CE7" w:rsidP="00A21CE7">
      <w:pPr>
        <w:ind w:firstLineChars="200" w:firstLine="420"/>
        <w:jc w:val="left"/>
        <w:rPr>
          <w:rFonts w:ascii="宋体" w:eastAsia="宋体" w:hAnsi="宋体"/>
        </w:rPr>
      </w:pPr>
      <w:r>
        <w:rPr>
          <w:rFonts w:ascii="宋体" w:eastAsia="宋体" w:hAnsi="宋体" w:hint="eastAsia"/>
        </w:rPr>
        <w:t>如上图所示，上海地区的会员人数远大于其他三个区域，当然这区域的健身房会所数量多少有直接关系。且4个地区的健身时长1小时左右的会员人数最多，这与总体会员健身时长趋势一致。</w:t>
      </w:r>
      <w:r w:rsidRPr="002C0B3D">
        <w:rPr>
          <w:rFonts w:ascii="宋体" w:eastAsia="宋体" w:hAnsi="宋体"/>
          <w:noProof/>
        </w:rPr>
        <w:drawing>
          <wp:inline distT="0" distB="0" distL="0" distR="0" wp14:anchorId="44B6E796" wp14:editId="37DF46D3">
            <wp:extent cx="5274310" cy="272986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29865"/>
                    </a:xfrm>
                    <a:prstGeom prst="rect">
                      <a:avLst/>
                    </a:prstGeom>
                  </pic:spPr>
                </pic:pic>
              </a:graphicData>
            </a:graphic>
          </wp:inline>
        </w:drawing>
      </w:r>
    </w:p>
    <w:p w:rsidR="00A21CE7" w:rsidRPr="002C0B3D" w:rsidRDefault="00A21CE7" w:rsidP="00A21CE7">
      <w:pPr>
        <w:jc w:val="center"/>
        <w:rPr>
          <w:rFonts w:ascii="宋体" w:eastAsia="宋体" w:hAnsi="宋体"/>
        </w:rPr>
      </w:pPr>
      <w:r w:rsidRPr="002C0B3D">
        <w:rPr>
          <w:rFonts w:ascii="宋体" w:eastAsia="宋体" w:hAnsi="宋体" w:hint="eastAsia"/>
        </w:rPr>
        <w:t>图</w:t>
      </w:r>
      <w:r>
        <w:rPr>
          <w:rFonts w:ascii="宋体" w:eastAsia="宋体" w:hAnsi="宋体" w:hint="eastAsia"/>
        </w:rPr>
        <w:t>12</w:t>
      </w:r>
      <w:r w:rsidRPr="002C0B3D">
        <w:rPr>
          <w:rFonts w:ascii="宋体" w:eastAsia="宋体" w:hAnsi="宋体" w:hint="eastAsia"/>
        </w:rPr>
        <w:t>：健身会所区域与会员健身开始时间关系折线图</w:t>
      </w:r>
    </w:p>
    <w:p w:rsidR="00A21CE7" w:rsidRPr="002C0B3D" w:rsidRDefault="00A21CE7" w:rsidP="00A21CE7">
      <w:pPr>
        <w:ind w:firstLineChars="200" w:firstLine="420"/>
        <w:rPr>
          <w:rFonts w:ascii="宋体" w:eastAsia="宋体" w:hAnsi="宋体"/>
        </w:rPr>
      </w:pPr>
      <w:r>
        <w:rPr>
          <w:rFonts w:ascii="宋体" w:eastAsia="宋体" w:hAnsi="宋体" w:hint="eastAsia"/>
        </w:rPr>
        <w:t>如上图所示，会员的入场时间可反映会员的健身时间习惯，可以看出上海地区的会员在上午10点左右和晚上7点左右开始健身达到了两个高峰值；北京区域的会员在上午11点左右和晚上7点左右开始健身其他区域的会员在下午3点左右开始健身达到高峰值。这与不同区域人们的作息时间和生活习惯有一定关系。</w:t>
      </w:r>
    </w:p>
    <w:p w:rsidR="00A21CE7" w:rsidRDefault="00A21CE7" w:rsidP="00A21CE7">
      <w:pPr>
        <w:pStyle w:val="a3"/>
        <w:numPr>
          <w:ilvl w:val="0"/>
          <w:numId w:val="9"/>
        </w:numPr>
        <w:ind w:firstLineChars="0"/>
        <w:rPr>
          <w:rFonts w:ascii="宋体" w:eastAsia="宋体" w:hAnsi="宋体"/>
        </w:rPr>
      </w:pPr>
      <w:r w:rsidRPr="002C0B3D">
        <w:rPr>
          <w:rFonts w:ascii="宋体" w:eastAsia="宋体" w:hAnsi="宋体" w:hint="eastAsia"/>
        </w:rPr>
        <w:t>结论</w:t>
      </w:r>
      <w:r>
        <w:rPr>
          <w:rFonts w:ascii="宋体" w:eastAsia="宋体" w:hAnsi="宋体" w:hint="eastAsia"/>
        </w:rPr>
        <w:t>或建议</w:t>
      </w:r>
    </w:p>
    <w:p w:rsidR="00A21CE7" w:rsidRDefault="00A21CE7" w:rsidP="00A21CE7">
      <w:pPr>
        <w:pStyle w:val="a3"/>
        <w:numPr>
          <w:ilvl w:val="0"/>
          <w:numId w:val="12"/>
        </w:numPr>
        <w:ind w:firstLineChars="0"/>
        <w:rPr>
          <w:rFonts w:ascii="宋体" w:eastAsia="宋体" w:hAnsi="宋体"/>
        </w:rPr>
      </w:pPr>
      <w:r w:rsidRPr="009177B8">
        <w:rPr>
          <w:rFonts w:ascii="宋体" w:eastAsia="宋体" w:hAnsi="宋体" w:hint="eastAsia"/>
        </w:rPr>
        <w:t>针对不同区域，因地制宜设定不同的高峰时间安排。如对上海地区，高峰时间为上午10点和晚上7点，在这两个时间段增加人手安排，且采取一定措施将会员引流到其他相对空闲的时间段。</w:t>
      </w:r>
    </w:p>
    <w:p w:rsidR="00A21CE7" w:rsidRDefault="00A21CE7" w:rsidP="00A21CE7">
      <w:pPr>
        <w:rPr>
          <w:rFonts w:ascii="宋体" w:eastAsia="宋体" w:hAnsi="宋体"/>
        </w:rPr>
      </w:pPr>
      <w:r>
        <w:rPr>
          <w:rFonts w:ascii="宋体" w:eastAsia="宋体" w:hAnsi="宋体" w:hint="eastAsia"/>
        </w:rPr>
        <w:t>（2）健身会所健身时长分析</w:t>
      </w:r>
    </w:p>
    <w:p w:rsidR="00A21CE7" w:rsidRDefault="00A21CE7" w:rsidP="00A21CE7">
      <w:pPr>
        <w:pStyle w:val="a3"/>
        <w:numPr>
          <w:ilvl w:val="0"/>
          <w:numId w:val="13"/>
        </w:numPr>
        <w:ind w:firstLineChars="0"/>
        <w:rPr>
          <w:rFonts w:ascii="宋体" w:eastAsia="宋体" w:hAnsi="宋体"/>
        </w:rPr>
      </w:pPr>
      <w:r w:rsidRPr="00FA77D7">
        <w:rPr>
          <w:rFonts w:ascii="宋体" w:eastAsia="宋体" w:hAnsi="宋体" w:hint="eastAsia"/>
        </w:rPr>
        <w:t>分析内容描述</w:t>
      </w:r>
    </w:p>
    <w:p w:rsidR="00A21CE7" w:rsidRPr="00FA77D7" w:rsidRDefault="00A21CE7" w:rsidP="00A21CE7">
      <w:pPr>
        <w:ind w:left="420" w:firstLineChars="200" w:firstLine="420"/>
        <w:rPr>
          <w:rFonts w:ascii="宋体" w:eastAsia="宋体" w:hAnsi="宋体"/>
        </w:rPr>
      </w:pPr>
      <w:r>
        <w:rPr>
          <w:rFonts w:ascii="宋体" w:eastAsia="宋体" w:hAnsi="宋体" w:hint="eastAsia"/>
        </w:rPr>
        <w:t>选取了部分有代表性的健身会所，分析这些健身房的会员健身时长分布关系。</w:t>
      </w:r>
    </w:p>
    <w:p w:rsidR="00A21CE7" w:rsidRDefault="00A21CE7" w:rsidP="00A21CE7">
      <w:pPr>
        <w:pStyle w:val="a3"/>
        <w:numPr>
          <w:ilvl w:val="0"/>
          <w:numId w:val="13"/>
        </w:numPr>
        <w:ind w:firstLineChars="0"/>
        <w:rPr>
          <w:rFonts w:ascii="宋体" w:eastAsia="宋体" w:hAnsi="宋体"/>
        </w:rPr>
      </w:pPr>
      <w:r w:rsidRPr="00FA77D7">
        <w:rPr>
          <w:rFonts w:ascii="宋体" w:eastAsia="宋体" w:hAnsi="宋体" w:hint="eastAsia"/>
        </w:rPr>
        <w:lastRenderedPageBreak/>
        <w:t>数据可视化结果</w:t>
      </w:r>
    </w:p>
    <w:p w:rsidR="00A21CE7" w:rsidRDefault="00A21CE7" w:rsidP="00A21CE7">
      <w:pPr>
        <w:rPr>
          <w:rFonts w:ascii="宋体" w:eastAsia="宋体" w:hAnsi="宋体"/>
        </w:rPr>
      </w:pPr>
      <w:r>
        <w:rPr>
          <w:noProof/>
        </w:rPr>
        <w:drawing>
          <wp:inline distT="0" distB="0" distL="0" distR="0" wp14:anchorId="0BACE49F" wp14:editId="02CB64AF">
            <wp:extent cx="5274310" cy="279781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97810"/>
                    </a:xfrm>
                    <a:prstGeom prst="rect">
                      <a:avLst/>
                    </a:prstGeom>
                  </pic:spPr>
                </pic:pic>
              </a:graphicData>
            </a:graphic>
          </wp:inline>
        </w:drawing>
      </w:r>
    </w:p>
    <w:p w:rsidR="00A21CE7" w:rsidRDefault="00A21CE7" w:rsidP="00A21CE7">
      <w:pPr>
        <w:jc w:val="center"/>
        <w:rPr>
          <w:rFonts w:ascii="宋体" w:eastAsia="宋体" w:hAnsi="宋体"/>
        </w:rPr>
      </w:pPr>
      <w:r>
        <w:rPr>
          <w:rFonts w:ascii="宋体" w:eastAsia="宋体" w:hAnsi="宋体" w:hint="eastAsia"/>
        </w:rPr>
        <w:t>图13:部分有代表性健身房会员健身时长分布</w:t>
      </w:r>
    </w:p>
    <w:p w:rsidR="00A21CE7" w:rsidRDefault="00A21CE7" w:rsidP="00A21CE7">
      <w:pPr>
        <w:ind w:firstLineChars="200" w:firstLine="420"/>
        <w:rPr>
          <w:rFonts w:ascii="宋体" w:eastAsia="宋体" w:hAnsi="宋体"/>
        </w:rPr>
      </w:pPr>
      <w:r>
        <w:rPr>
          <w:rFonts w:ascii="宋体" w:eastAsia="宋体" w:hAnsi="宋体" w:hint="eastAsia"/>
        </w:rPr>
        <w:t>如图所示，不同颜色代表不同的健身会所，色块面积越大，可以看出，所有健身会所的会员健身时长趋势大致相同，会员的健身时长多数集中在1~2个小时。在选取的健身会所中，上海大华锦绣、韦明城市、深圳嘉信茂这3个健身会所的会员人数最多，可以总结这3个健身会所的成功经验，为其他健身会所提供参考。</w:t>
      </w:r>
    </w:p>
    <w:p w:rsidR="00A21CE7" w:rsidRPr="00FA77D7" w:rsidRDefault="00A21CE7" w:rsidP="00A21CE7">
      <w:pPr>
        <w:pStyle w:val="a3"/>
        <w:numPr>
          <w:ilvl w:val="0"/>
          <w:numId w:val="13"/>
        </w:numPr>
        <w:ind w:firstLineChars="0"/>
        <w:rPr>
          <w:rFonts w:ascii="宋体" w:eastAsia="宋体" w:hAnsi="宋体"/>
        </w:rPr>
      </w:pPr>
      <w:r w:rsidRPr="00FA77D7">
        <w:rPr>
          <w:rFonts w:ascii="宋体" w:eastAsia="宋体" w:hAnsi="宋体" w:hint="eastAsia"/>
        </w:rPr>
        <w:t>结论或建议</w:t>
      </w:r>
    </w:p>
    <w:p w:rsidR="00A21CE7" w:rsidRPr="00BC1819" w:rsidRDefault="00A21CE7" w:rsidP="00A21CE7">
      <w:pPr>
        <w:ind w:firstLineChars="200" w:firstLine="420"/>
        <w:rPr>
          <w:rFonts w:ascii="宋体" w:eastAsia="宋体" w:hAnsi="宋体"/>
        </w:rPr>
      </w:pPr>
      <w:r w:rsidRPr="00BC1819">
        <w:rPr>
          <w:rFonts w:ascii="宋体" w:eastAsia="宋体" w:hAnsi="宋体" w:hint="eastAsia"/>
        </w:rPr>
        <w:t>可以</w:t>
      </w:r>
      <w:r>
        <w:rPr>
          <w:rFonts w:ascii="宋体" w:eastAsia="宋体" w:hAnsi="宋体" w:hint="eastAsia"/>
        </w:rPr>
        <w:t>吸取营业额良好的</w:t>
      </w:r>
      <w:r w:rsidRPr="00BC1819">
        <w:rPr>
          <w:rFonts w:ascii="宋体" w:eastAsia="宋体" w:hAnsi="宋体" w:hint="eastAsia"/>
        </w:rPr>
        <w:t>健身会所的成功经验，为其他健身会所提供参考。</w:t>
      </w:r>
    </w:p>
    <w:p w:rsidR="00A21CE7" w:rsidRDefault="00A21CE7" w:rsidP="00A21CE7">
      <w:pPr>
        <w:pStyle w:val="2"/>
      </w:pPr>
      <w:bookmarkStart w:id="10" w:name="_Toc505601269"/>
      <w:r>
        <w:rPr>
          <w:rFonts w:hint="eastAsia"/>
        </w:rPr>
        <w:t>5、会所表</w:t>
      </w:r>
      <w:bookmarkEnd w:id="10"/>
    </w:p>
    <w:p w:rsidR="00A21CE7" w:rsidRPr="002C0B3D" w:rsidRDefault="00A21CE7" w:rsidP="00A21CE7">
      <w:pPr>
        <w:pStyle w:val="3"/>
        <w:rPr>
          <w:rFonts w:ascii="宋体" w:eastAsia="宋体" w:hAnsi="宋体"/>
        </w:rPr>
      </w:pPr>
      <w:bookmarkStart w:id="11" w:name="_Toc505601270"/>
      <w:r w:rsidRPr="002C0B3D">
        <w:rPr>
          <w:rFonts w:ascii="宋体" w:eastAsia="宋体" w:hAnsi="宋体" w:hint="eastAsia"/>
        </w:rPr>
        <w:t>(1)健身会所区域分布分析</w:t>
      </w:r>
      <w:bookmarkEnd w:id="11"/>
    </w:p>
    <w:p w:rsidR="00A21CE7" w:rsidRPr="002C0B3D" w:rsidRDefault="00A21CE7" w:rsidP="00A21CE7">
      <w:pPr>
        <w:pStyle w:val="a3"/>
        <w:numPr>
          <w:ilvl w:val="0"/>
          <w:numId w:val="8"/>
        </w:numPr>
        <w:ind w:firstLineChars="0"/>
        <w:rPr>
          <w:rFonts w:ascii="宋体" w:eastAsia="宋体" w:hAnsi="宋体"/>
        </w:rPr>
      </w:pPr>
      <w:r w:rsidRPr="002C0B3D">
        <w:rPr>
          <w:rFonts w:ascii="宋体" w:eastAsia="宋体" w:hAnsi="宋体" w:hint="eastAsia"/>
        </w:rPr>
        <w:t>分析内容描述</w:t>
      </w:r>
    </w:p>
    <w:p w:rsidR="00A21CE7" w:rsidRPr="002C0B3D" w:rsidRDefault="00A21CE7" w:rsidP="00A21CE7">
      <w:pPr>
        <w:pStyle w:val="a3"/>
        <w:numPr>
          <w:ilvl w:val="0"/>
          <w:numId w:val="8"/>
        </w:numPr>
        <w:ind w:firstLineChars="0"/>
        <w:rPr>
          <w:rFonts w:ascii="宋体" w:eastAsia="宋体" w:hAnsi="宋体"/>
        </w:rPr>
      </w:pPr>
      <w:r w:rsidRPr="002C0B3D">
        <w:rPr>
          <w:rFonts w:ascii="宋体" w:eastAsia="宋体" w:hAnsi="宋体" w:hint="eastAsia"/>
        </w:rPr>
        <w:t>数据可视化结果</w:t>
      </w:r>
    </w:p>
    <w:p w:rsidR="00A21CE7" w:rsidRPr="002C0B3D" w:rsidRDefault="00A21CE7" w:rsidP="00A21CE7">
      <w:pPr>
        <w:pStyle w:val="a3"/>
        <w:ind w:left="1500" w:firstLineChars="0" w:firstLine="0"/>
        <w:rPr>
          <w:rFonts w:ascii="宋体" w:eastAsia="宋体" w:hAnsi="宋体"/>
          <w:color w:val="FF0000"/>
          <w:sz w:val="32"/>
        </w:rPr>
      </w:pPr>
      <w:r w:rsidRPr="002C0B3D">
        <w:rPr>
          <w:rFonts w:ascii="宋体" w:eastAsia="宋体" w:hAnsi="宋体" w:hint="eastAsia"/>
          <w:color w:val="FF0000"/>
          <w:sz w:val="32"/>
        </w:rPr>
        <w:t>地图</w:t>
      </w:r>
    </w:p>
    <w:p w:rsidR="00A21CE7" w:rsidRPr="002C0B3D" w:rsidRDefault="00A21CE7" w:rsidP="00A21CE7">
      <w:pPr>
        <w:pStyle w:val="a3"/>
        <w:numPr>
          <w:ilvl w:val="0"/>
          <w:numId w:val="8"/>
        </w:numPr>
        <w:ind w:firstLineChars="0"/>
        <w:rPr>
          <w:rFonts w:ascii="宋体" w:eastAsia="宋体" w:hAnsi="宋体"/>
        </w:rPr>
      </w:pPr>
      <w:r w:rsidRPr="002C0B3D">
        <w:rPr>
          <w:rFonts w:ascii="宋体" w:eastAsia="宋体" w:hAnsi="宋体" w:hint="eastAsia"/>
        </w:rPr>
        <w:t>结论</w:t>
      </w:r>
    </w:p>
    <w:p w:rsidR="00A21CE7" w:rsidRPr="009177B8" w:rsidRDefault="00A21CE7" w:rsidP="00A21CE7"/>
    <w:p w:rsidR="00A21CE7" w:rsidRDefault="00A21CE7" w:rsidP="00A21CE7">
      <w:pPr>
        <w:rPr>
          <w:rFonts w:ascii="宋体" w:eastAsia="宋体" w:hAnsi="宋体"/>
        </w:rPr>
      </w:pPr>
    </w:p>
    <w:p w:rsidR="00A21CE7" w:rsidRDefault="00A21CE7" w:rsidP="00A21CE7">
      <w:pPr>
        <w:rPr>
          <w:rFonts w:ascii="宋体" w:eastAsia="宋体" w:hAnsi="宋体"/>
        </w:rPr>
      </w:pPr>
    </w:p>
    <w:p w:rsidR="00A21CE7" w:rsidRDefault="00A21CE7" w:rsidP="00A21CE7">
      <w:pPr>
        <w:rPr>
          <w:rFonts w:ascii="宋体" w:eastAsia="宋体" w:hAnsi="宋体"/>
        </w:rPr>
      </w:pPr>
    </w:p>
    <w:p w:rsidR="00A21CE7" w:rsidRDefault="00A21CE7" w:rsidP="00A21CE7">
      <w:pPr>
        <w:rPr>
          <w:rFonts w:ascii="宋体" w:eastAsia="宋体" w:hAnsi="宋体"/>
        </w:rPr>
      </w:pPr>
    </w:p>
    <w:p w:rsidR="00A21CE7" w:rsidRDefault="00A21CE7" w:rsidP="00A21CE7">
      <w:pPr>
        <w:rPr>
          <w:rFonts w:ascii="宋体" w:eastAsia="宋体" w:hAnsi="宋体"/>
        </w:rPr>
      </w:pPr>
    </w:p>
    <w:p w:rsidR="00A21CE7" w:rsidRDefault="00A21CE7" w:rsidP="00A21CE7">
      <w:pPr>
        <w:rPr>
          <w:rFonts w:ascii="宋体" w:eastAsia="宋体" w:hAnsi="宋体"/>
        </w:rPr>
      </w:pPr>
    </w:p>
    <w:p w:rsidR="00A21CE7" w:rsidRDefault="00A21CE7" w:rsidP="00A21CE7">
      <w:pPr>
        <w:rPr>
          <w:rFonts w:ascii="宋体" w:eastAsia="宋体" w:hAnsi="宋体"/>
        </w:rPr>
      </w:pPr>
    </w:p>
    <w:p w:rsidR="00A21CE7" w:rsidRDefault="00A21CE7" w:rsidP="00A21CE7">
      <w:pPr>
        <w:rPr>
          <w:rFonts w:ascii="宋体" w:eastAsia="宋体" w:hAnsi="宋体"/>
        </w:rPr>
      </w:pPr>
    </w:p>
    <w:p w:rsidR="00A21CE7" w:rsidRDefault="00A21CE7" w:rsidP="00A21CE7">
      <w:pPr>
        <w:rPr>
          <w:rFonts w:ascii="宋体" w:eastAsia="宋体" w:hAnsi="宋体"/>
        </w:rPr>
      </w:pPr>
    </w:p>
    <w:p w:rsidR="00A21CE7" w:rsidRPr="00A21CE7" w:rsidRDefault="00A21CE7" w:rsidP="00A21CE7">
      <w:pPr>
        <w:pStyle w:val="1"/>
      </w:pPr>
      <w:r>
        <w:rPr>
          <w:rFonts w:hint="eastAsia"/>
        </w:rPr>
        <w:lastRenderedPageBreak/>
        <w:t>&lt;二&gt;</w:t>
      </w:r>
      <w:r w:rsidRPr="00A21CE7">
        <w:t>刘敏慧分析报告：</w:t>
      </w:r>
    </w:p>
    <w:p w:rsidR="00A21CE7" w:rsidRDefault="00A21CE7" w:rsidP="00A21CE7">
      <w:pPr>
        <w:spacing w:line="360" w:lineRule="auto"/>
        <w:jc w:val="center"/>
        <w:rPr>
          <w:rFonts w:ascii="黑体" w:eastAsia="黑体" w:hAnsi="黑体"/>
          <w:sz w:val="30"/>
          <w:szCs w:val="30"/>
        </w:rPr>
      </w:pPr>
      <w:r w:rsidRPr="00677F7C">
        <w:rPr>
          <w:rFonts w:ascii="黑体" w:eastAsia="黑体" w:hAnsi="黑体" w:hint="eastAsia"/>
          <w:sz w:val="30"/>
          <w:szCs w:val="30"/>
        </w:rPr>
        <w:t>健身课程销售情况分析</w:t>
      </w:r>
    </w:p>
    <w:p w:rsidR="00A21CE7" w:rsidRDefault="00A21CE7" w:rsidP="00A21CE7">
      <w:pPr>
        <w:spacing w:line="360" w:lineRule="auto"/>
        <w:jc w:val="right"/>
        <w:rPr>
          <w:rFonts w:ascii="黑体" w:eastAsia="黑体" w:hAnsi="黑体"/>
          <w:sz w:val="30"/>
          <w:szCs w:val="30"/>
        </w:rPr>
      </w:pPr>
      <w:r>
        <w:rPr>
          <w:rFonts w:ascii="黑体" w:eastAsia="黑体" w:hAnsi="黑体" w:hint="eastAsia"/>
          <w:sz w:val="30"/>
          <w:szCs w:val="30"/>
        </w:rPr>
        <w:t>——销售表</w:t>
      </w:r>
    </w:p>
    <w:p w:rsidR="00A21CE7" w:rsidRPr="005520F2" w:rsidRDefault="00A21CE7" w:rsidP="00A21CE7">
      <w:pPr>
        <w:pStyle w:val="2"/>
      </w:pPr>
      <w:r w:rsidRPr="005520F2">
        <w:rPr>
          <w:rFonts w:hint="eastAsia"/>
        </w:rPr>
        <w:t>1、销售课程分布</w:t>
      </w:r>
    </w:p>
    <w:p w:rsidR="00A21CE7" w:rsidRDefault="00A21CE7" w:rsidP="00A21CE7">
      <w:pPr>
        <w:spacing w:line="360" w:lineRule="auto"/>
        <w:jc w:val="left"/>
        <w:rPr>
          <w:noProof/>
        </w:rPr>
      </w:pPr>
    </w:p>
    <w:p w:rsidR="00A21CE7" w:rsidRDefault="00A21CE7" w:rsidP="00A21CE7">
      <w:pPr>
        <w:spacing w:line="360" w:lineRule="auto"/>
        <w:jc w:val="left"/>
        <w:rPr>
          <w:rFonts w:ascii="宋体" w:eastAsia="宋体" w:hAnsi="宋体"/>
          <w:sz w:val="24"/>
          <w:szCs w:val="24"/>
        </w:rPr>
      </w:pPr>
      <w:r>
        <w:rPr>
          <w:noProof/>
        </w:rPr>
        <w:drawing>
          <wp:inline distT="0" distB="0" distL="0" distR="0" wp14:anchorId="5708D3EB" wp14:editId="08B6B272">
            <wp:extent cx="4832350" cy="2005965"/>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r="8349" b="26953"/>
                    <a:stretch/>
                  </pic:blipFill>
                  <pic:spPr bwMode="auto">
                    <a:xfrm>
                      <a:off x="0" y="0"/>
                      <a:ext cx="4833925" cy="2006619"/>
                    </a:xfrm>
                    <a:prstGeom prst="rect">
                      <a:avLst/>
                    </a:prstGeom>
                    <a:noFill/>
                    <a:ln>
                      <a:noFill/>
                    </a:ln>
                    <a:extLst>
                      <a:ext uri="{53640926-AAD7-44D8-BBD7-CCE9431645EC}">
                        <a14:shadowObscured xmlns:a14="http://schemas.microsoft.com/office/drawing/2010/main"/>
                      </a:ext>
                    </a:extLst>
                  </pic:spPr>
                </pic:pic>
              </a:graphicData>
            </a:graphic>
          </wp:inline>
        </w:drawing>
      </w:r>
    </w:p>
    <w:p w:rsidR="00A21CE7" w:rsidRDefault="00A21CE7" w:rsidP="00A21CE7">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事前利用R语言对课程字符串进行处理，将所有相似课程进行统一，减少课程种类。取前十种课程进行展示，如上图所示，私教常规课是占比重最多的课程，其次是R</w:t>
      </w:r>
      <w:r>
        <w:rPr>
          <w:rFonts w:ascii="宋体" w:eastAsia="宋体" w:hAnsi="宋体"/>
          <w:sz w:val="24"/>
          <w:szCs w:val="24"/>
        </w:rPr>
        <w:t>B</w:t>
      </w:r>
      <w:r>
        <w:rPr>
          <w:rFonts w:ascii="宋体" w:eastAsia="宋体" w:hAnsi="宋体" w:hint="eastAsia"/>
          <w:sz w:val="24"/>
          <w:szCs w:val="24"/>
        </w:rPr>
        <w:t>课和悬吊课。</w:t>
      </w:r>
    </w:p>
    <w:p w:rsidR="00A21CE7" w:rsidRPr="005520F2" w:rsidRDefault="00A21CE7" w:rsidP="00A21CE7">
      <w:pPr>
        <w:pStyle w:val="2"/>
      </w:pPr>
      <w:r w:rsidRPr="005520F2">
        <w:rPr>
          <w:rFonts w:hint="eastAsia"/>
        </w:rPr>
        <w:t>2、销售人员</w:t>
      </w:r>
      <w:r>
        <w:rPr>
          <w:rFonts w:hint="eastAsia"/>
        </w:rPr>
        <w:t>与教练比较分析</w:t>
      </w:r>
    </w:p>
    <w:p w:rsidR="00A21CE7" w:rsidRDefault="00A21CE7" w:rsidP="00A21CE7">
      <w:pPr>
        <w:spacing w:line="360" w:lineRule="auto"/>
        <w:jc w:val="left"/>
        <w:rPr>
          <w:rFonts w:ascii="宋体" w:eastAsia="宋体" w:hAnsi="宋体"/>
          <w:sz w:val="24"/>
          <w:szCs w:val="24"/>
        </w:rPr>
      </w:pPr>
      <w:r>
        <w:rPr>
          <w:noProof/>
        </w:rPr>
        <w:drawing>
          <wp:inline distT="0" distB="0" distL="0" distR="0" wp14:anchorId="63E86B3F" wp14:editId="666733B0">
            <wp:extent cx="4330700" cy="225557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5196" cy="2273539"/>
                    </a:xfrm>
                    <a:prstGeom prst="rect">
                      <a:avLst/>
                    </a:prstGeom>
                    <a:noFill/>
                    <a:ln>
                      <a:noFill/>
                    </a:ln>
                  </pic:spPr>
                </pic:pic>
              </a:graphicData>
            </a:graphic>
          </wp:inline>
        </w:drawing>
      </w:r>
    </w:p>
    <w:p w:rsidR="00A21CE7" w:rsidRDefault="00A21CE7" w:rsidP="00A21CE7">
      <w:pPr>
        <w:spacing w:line="360" w:lineRule="auto"/>
        <w:jc w:val="left"/>
        <w:rPr>
          <w:rFonts w:ascii="宋体" w:eastAsia="宋体" w:hAnsi="宋体"/>
          <w:sz w:val="24"/>
          <w:szCs w:val="24"/>
        </w:rPr>
      </w:pPr>
      <w:r>
        <w:rPr>
          <w:noProof/>
        </w:rPr>
        <w:lastRenderedPageBreak/>
        <w:drawing>
          <wp:inline distT="0" distB="0" distL="0" distR="0" wp14:anchorId="2036E50B" wp14:editId="74FDA55E">
            <wp:extent cx="4292600" cy="223572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7713" cy="2274849"/>
                    </a:xfrm>
                    <a:prstGeom prst="rect">
                      <a:avLst/>
                    </a:prstGeom>
                    <a:noFill/>
                    <a:ln>
                      <a:noFill/>
                    </a:ln>
                  </pic:spPr>
                </pic:pic>
              </a:graphicData>
            </a:graphic>
          </wp:inline>
        </w:drawing>
      </w:r>
    </w:p>
    <w:p w:rsidR="00A21CE7" w:rsidRDefault="00A21CE7" w:rsidP="00A21CE7">
      <w:pPr>
        <w:spacing w:line="360" w:lineRule="auto"/>
        <w:ind w:firstLineChars="200" w:firstLine="480"/>
        <w:jc w:val="left"/>
        <w:rPr>
          <w:rFonts w:ascii="宋体" w:eastAsia="宋体" w:hAnsi="宋体" w:hint="eastAsia"/>
          <w:sz w:val="24"/>
          <w:szCs w:val="24"/>
        </w:rPr>
      </w:pPr>
      <w:r>
        <w:rPr>
          <w:rFonts w:ascii="宋体" w:eastAsia="宋体" w:hAnsi="宋体" w:hint="eastAsia"/>
          <w:sz w:val="24"/>
          <w:szCs w:val="24"/>
        </w:rPr>
        <w:t>上面两幅图看的不是很清楚，通过网页上的动态图可以看到销售人员销售课程数量分布和教练教授课程分布极为相似。两幅图一对比可知销售排名前二的课程的销售人员就是课程教练，说明教练对会员推荐课程成功比例较大。当然也不是所有教练都负责推荐课程，比如第二幅图中的聂平平教练，他负责的课程数量排在第三位，可是在销售人员前十的名单中并没有他。</w:t>
      </w:r>
    </w:p>
    <w:p w:rsidR="00A21CE7" w:rsidRDefault="00A21CE7" w:rsidP="00A21CE7">
      <w:pPr>
        <w:pStyle w:val="2"/>
      </w:pPr>
      <w:r w:rsidRPr="005520F2">
        <w:rPr>
          <w:rFonts w:hint="eastAsia"/>
        </w:rPr>
        <w:t>3、</w:t>
      </w:r>
      <w:r>
        <w:rPr>
          <w:rFonts w:hint="eastAsia"/>
        </w:rPr>
        <w:t>销售类型分布</w:t>
      </w:r>
    </w:p>
    <w:p w:rsidR="00A21CE7" w:rsidRDefault="00A21CE7" w:rsidP="00A21CE7">
      <w:pPr>
        <w:spacing w:line="360" w:lineRule="auto"/>
        <w:jc w:val="left"/>
        <w:rPr>
          <w:rFonts w:ascii="宋体" w:eastAsia="宋体" w:hAnsi="宋体"/>
          <w:b/>
          <w:sz w:val="24"/>
          <w:szCs w:val="24"/>
        </w:rPr>
      </w:pPr>
      <w:r>
        <w:rPr>
          <w:noProof/>
        </w:rPr>
        <w:drawing>
          <wp:inline distT="0" distB="0" distL="0" distR="0" wp14:anchorId="41BE0733" wp14:editId="322719B4">
            <wp:extent cx="5274310" cy="2747036"/>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747036"/>
                    </a:xfrm>
                    <a:prstGeom prst="rect">
                      <a:avLst/>
                    </a:prstGeom>
                    <a:noFill/>
                    <a:ln>
                      <a:noFill/>
                    </a:ln>
                  </pic:spPr>
                </pic:pic>
              </a:graphicData>
            </a:graphic>
          </wp:inline>
        </w:drawing>
      </w:r>
    </w:p>
    <w:p w:rsidR="00A21CE7" w:rsidRPr="007357CE" w:rsidRDefault="00A21CE7" w:rsidP="00A21CE7">
      <w:pPr>
        <w:spacing w:line="360" w:lineRule="auto"/>
        <w:ind w:firstLineChars="200" w:firstLine="480"/>
        <w:jc w:val="left"/>
        <w:rPr>
          <w:rFonts w:ascii="宋体" w:eastAsia="宋体" w:hAnsi="宋体"/>
          <w:sz w:val="24"/>
          <w:szCs w:val="24"/>
        </w:rPr>
      </w:pPr>
      <w:r w:rsidRPr="007357CE">
        <w:rPr>
          <w:rFonts w:ascii="宋体" w:eastAsia="宋体" w:hAnsi="宋体" w:hint="eastAsia"/>
          <w:sz w:val="24"/>
          <w:szCs w:val="24"/>
        </w:rPr>
        <w:t>上图展示了会员得到课程的方式</w:t>
      </w:r>
      <w:r>
        <w:rPr>
          <w:rFonts w:ascii="宋体" w:eastAsia="宋体" w:hAnsi="宋体" w:hint="eastAsia"/>
          <w:sz w:val="24"/>
          <w:szCs w:val="24"/>
        </w:rPr>
        <w:t>，大约7</w:t>
      </w:r>
      <w:r>
        <w:rPr>
          <w:rFonts w:ascii="宋体" w:eastAsia="宋体" w:hAnsi="宋体"/>
          <w:sz w:val="24"/>
          <w:szCs w:val="24"/>
        </w:rPr>
        <w:t>0</w:t>
      </w:r>
      <w:r>
        <w:rPr>
          <w:rFonts w:ascii="宋体" w:eastAsia="宋体" w:hAnsi="宋体" w:hint="eastAsia"/>
          <w:sz w:val="24"/>
          <w:szCs w:val="24"/>
        </w:rPr>
        <w:t>%都是正常购买P</w:t>
      </w:r>
      <w:r>
        <w:rPr>
          <w:rFonts w:ascii="宋体" w:eastAsia="宋体" w:hAnsi="宋体"/>
          <w:sz w:val="24"/>
          <w:szCs w:val="24"/>
        </w:rPr>
        <w:t>T</w:t>
      </w:r>
      <w:r>
        <w:rPr>
          <w:rFonts w:ascii="宋体" w:eastAsia="宋体" w:hAnsi="宋体" w:hint="eastAsia"/>
          <w:sz w:val="24"/>
          <w:szCs w:val="24"/>
        </w:rPr>
        <w:t>课程，其次是进行续课，再就是由其他课程转入成为</w:t>
      </w:r>
      <w:r>
        <w:rPr>
          <w:rFonts w:ascii="宋体" w:eastAsia="宋体" w:hAnsi="宋体"/>
          <w:sz w:val="24"/>
          <w:szCs w:val="24"/>
        </w:rPr>
        <w:t>PT</w:t>
      </w:r>
      <w:r>
        <w:rPr>
          <w:rFonts w:ascii="宋体" w:eastAsia="宋体" w:hAnsi="宋体" w:hint="eastAsia"/>
          <w:sz w:val="24"/>
          <w:szCs w:val="24"/>
        </w:rPr>
        <w:t>课程或者会员通过转店继续上课，基本通过以上四种方式。</w:t>
      </w:r>
    </w:p>
    <w:p w:rsidR="00A21CE7" w:rsidRDefault="00A21CE7" w:rsidP="00A21CE7">
      <w:pPr>
        <w:pStyle w:val="2"/>
      </w:pPr>
      <w:r w:rsidRPr="00F90033">
        <w:rPr>
          <w:rFonts w:hint="eastAsia"/>
        </w:rPr>
        <w:lastRenderedPageBreak/>
        <w:t>4、</w:t>
      </w:r>
      <w:r>
        <w:rPr>
          <w:rFonts w:hint="eastAsia"/>
        </w:rPr>
        <w:t>销售金额</w:t>
      </w:r>
    </w:p>
    <w:p w:rsidR="00A21CE7" w:rsidRDefault="00A21CE7" w:rsidP="00A21CE7">
      <w:pPr>
        <w:spacing w:line="360" w:lineRule="auto"/>
        <w:jc w:val="left"/>
        <w:rPr>
          <w:rFonts w:ascii="宋体" w:eastAsia="宋体" w:hAnsi="宋体"/>
          <w:b/>
          <w:sz w:val="24"/>
          <w:szCs w:val="24"/>
        </w:rPr>
      </w:pPr>
      <w:r>
        <w:rPr>
          <w:noProof/>
        </w:rPr>
        <w:drawing>
          <wp:inline distT="0" distB="0" distL="0" distR="0" wp14:anchorId="2111D0A1" wp14:editId="437D79D8">
            <wp:extent cx="5274310" cy="2747036"/>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747036"/>
                    </a:xfrm>
                    <a:prstGeom prst="rect">
                      <a:avLst/>
                    </a:prstGeom>
                    <a:noFill/>
                    <a:ln>
                      <a:noFill/>
                    </a:ln>
                  </pic:spPr>
                </pic:pic>
              </a:graphicData>
            </a:graphic>
          </wp:inline>
        </w:drawing>
      </w:r>
    </w:p>
    <w:p w:rsidR="00A21CE7" w:rsidRDefault="00A21CE7" w:rsidP="00A21CE7">
      <w:pPr>
        <w:spacing w:line="360" w:lineRule="auto"/>
        <w:ind w:firstLineChars="200" w:firstLine="480"/>
        <w:jc w:val="left"/>
        <w:rPr>
          <w:rFonts w:ascii="宋体" w:eastAsia="宋体" w:hAnsi="宋体"/>
          <w:sz w:val="24"/>
          <w:szCs w:val="24"/>
        </w:rPr>
      </w:pPr>
      <w:r w:rsidRPr="00F90033">
        <w:rPr>
          <w:rFonts w:ascii="宋体" w:eastAsia="宋体" w:hAnsi="宋体" w:hint="eastAsia"/>
          <w:sz w:val="24"/>
          <w:szCs w:val="24"/>
        </w:rPr>
        <w:t>上图展示的是所有课程销售金额区间的分布</w:t>
      </w:r>
      <w:r>
        <w:rPr>
          <w:rFonts w:ascii="宋体" w:eastAsia="宋体" w:hAnsi="宋体" w:hint="eastAsia"/>
          <w:sz w:val="24"/>
          <w:szCs w:val="24"/>
        </w:rPr>
        <w:t>。最为普遍的课程消费情况在5</w:t>
      </w:r>
      <w:r>
        <w:rPr>
          <w:rFonts w:ascii="宋体" w:eastAsia="宋体" w:hAnsi="宋体"/>
          <w:sz w:val="24"/>
          <w:szCs w:val="24"/>
        </w:rPr>
        <w:t>000</w:t>
      </w:r>
      <w:r>
        <w:rPr>
          <w:rFonts w:ascii="宋体" w:eastAsia="宋体" w:hAnsi="宋体" w:hint="eastAsia"/>
          <w:sz w:val="24"/>
          <w:szCs w:val="24"/>
        </w:rPr>
        <w:t>~1</w:t>
      </w:r>
      <w:r>
        <w:rPr>
          <w:rFonts w:ascii="宋体" w:eastAsia="宋体" w:hAnsi="宋体"/>
          <w:sz w:val="24"/>
          <w:szCs w:val="24"/>
        </w:rPr>
        <w:t>0000</w:t>
      </w:r>
      <w:r>
        <w:rPr>
          <w:rFonts w:ascii="宋体" w:eastAsia="宋体" w:hAnsi="宋体" w:hint="eastAsia"/>
          <w:sz w:val="24"/>
          <w:szCs w:val="24"/>
        </w:rPr>
        <w:t>元和1</w:t>
      </w:r>
      <w:r>
        <w:rPr>
          <w:rFonts w:ascii="宋体" w:eastAsia="宋体" w:hAnsi="宋体"/>
          <w:sz w:val="24"/>
          <w:szCs w:val="24"/>
        </w:rPr>
        <w:t>0000</w:t>
      </w:r>
      <w:r>
        <w:rPr>
          <w:rFonts w:ascii="宋体" w:eastAsia="宋体" w:hAnsi="宋体" w:hint="eastAsia"/>
          <w:sz w:val="24"/>
          <w:szCs w:val="24"/>
        </w:rPr>
        <w:t>~</w:t>
      </w:r>
      <w:r>
        <w:rPr>
          <w:rFonts w:ascii="宋体" w:eastAsia="宋体" w:hAnsi="宋体"/>
          <w:sz w:val="24"/>
          <w:szCs w:val="24"/>
        </w:rPr>
        <w:t>50000</w:t>
      </w:r>
      <w:r>
        <w:rPr>
          <w:rFonts w:ascii="宋体" w:eastAsia="宋体" w:hAnsi="宋体" w:hint="eastAsia"/>
          <w:sz w:val="24"/>
          <w:szCs w:val="24"/>
        </w:rPr>
        <w:t>元这两个区间内。上海人的平均月薪大概在1</w:t>
      </w:r>
      <w:r>
        <w:rPr>
          <w:rFonts w:ascii="宋体" w:eastAsia="宋体" w:hAnsi="宋体"/>
          <w:sz w:val="24"/>
          <w:szCs w:val="24"/>
        </w:rPr>
        <w:t>0000</w:t>
      </w:r>
      <w:r>
        <w:rPr>
          <w:rFonts w:ascii="宋体" w:eastAsia="宋体" w:hAnsi="宋体" w:hint="eastAsia"/>
          <w:sz w:val="24"/>
          <w:szCs w:val="24"/>
        </w:rPr>
        <w:t>元左右，而能来健身房办卡的这些人薪资水平肯定普遍高于平均月薪。不过从大多数人角度看，这也差不多相当于他们半个月到一个月的薪资，大家都很乐意拿出不小的一部分钱用在健身上，说明在上海现在人们的健康意识在不断提升。</w:t>
      </w:r>
    </w:p>
    <w:p w:rsidR="00A21CE7" w:rsidRDefault="00A21CE7" w:rsidP="00A21CE7">
      <w:pPr>
        <w:pStyle w:val="2"/>
      </w:pPr>
      <w:r w:rsidRPr="00D71FAC">
        <w:rPr>
          <w:rFonts w:hint="eastAsia"/>
        </w:rPr>
        <w:t>5、有效期</w:t>
      </w:r>
    </w:p>
    <w:p w:rsidR="00A21CE7" w:rsidRDefault="00A21CE7" w:rsidP="00A21CE7">
      <w:pPr>
        <w:spacing w:line="360" w:lineRule="auto"/>
        <w:jc w:val="left"/>
        <w:rPr>
          <w:rFonts w:ascii="宋体" w:eastAsia="宋体" w:hAnsi="宋体"/>
          <w:b/>
          <w:sz w:val="24"/>
          <w:szCs w:val="24"/>
        </w:rPr>
      </w:pPr>
      <w:r>
        <w:rPr>
          <w:noProof/>
        </w:rPr>
        <w:drawing>
          <wp:inline distT="0" distB="0" distL="0" distR="0" wp14:anchorId="3FB826A4" wp14:editId="16AF2CE2">
            <wp:extent cx="5274310" cy="2747036"/>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747036"/>
                    </a:xfrm>
                    <a:prstGeom prst="rect">
                      <a:avLst/>
                    </a:prstGeom>
                    <a:noFill/>
                    <a:ln>
                      <a:noFill/>
                    </a:ln>
                  </pic:spPr>
                </pic:pic>
              </a:graphicData>
            </a:graphic>
          </wp:inline>
        </w:drawing>
      </w:r>
    </w:p>
    <w:p w:rsidR="00A21CE7" w:rsidRPr="00D71FAC" w:rsidRDefault="00A21CE7" w:rsidP="00A21CE7">
      <w:pPr>
        <w:spacing w:line="360" w:lineRule="auto"/>
        <w:ind w:firstLineChars="200" w:firstLine="480"/>
        <w:jc w:val="left"/>
        <w:rPr>
          <w:rFonts w:ascii="宋体" w:eastAsia="宋体" w:hAnsi="宋体"/>
          <w:b/>
          <w:sz w:val="24"/>
          <w:szCs w:val="24"/>
        </w:rPr>
      </w:pPr>
      <w:r w:rsidRPr="00D71FAC">
        <w:rPr>
          <w:rFonts w:ascii="宋体" w:eastAsia="宋体" w:hAnsi="宋体" w:hint="eastAsia"/>
          <w:sz w:val="24"/>
          <w:szCs w:val="24"/>
        </w:rPr>
        <w:lastRenderedPageBreak/>
        <w:t>上图展示的是卡的有效期限，也是从侧面反应卡的种类</w:t>
      </w:r>
      <w:r>
        <w:rPr>
          <w:rFonts w:ascii="宋体" w:eastAsia="宋体" w:hAnsi="宋体" w:hint="eastAsia"/>
          <w:sz w:val="24"/>
          <w:szCs w:val="24"/>
        </w:rPr>
        <w:t>。其中占比最重的是一年卡，说明大多数人还是偏向于办理年卡，并多数以一年为期限。</w:t>
      </w:r>
    </w:p>
    <w:p w:rsidR="00A21CE7" w:rsidRPr="005520F2" w:rsidRDefault="00A21CE7" w:rsidP="00A21CE7">
      <w:pPr>
        <w:pStyle w:val="2"/>
      </w:pPr>
      <w:r>
        <w:rPr>
          <w:rFonts w:hint="eastAsia"/>
        </w:rPr>
        <w:t>6、</w:t>
      </w:r>
      <w:r w:rsidRPr="005520F2">
        <w:rPr>
          <w:rFonts w:hint="eastAsia"/>
        </w:rPr>
        <w:t>课程收费情况分布</w:t>
      </w:r>
      <w:r>
        <w:rPr>
          <w:rFonts w:hint="eastAsia"/>
        </w:rPr>
        <w:t>进一步分析</w:t>
      </w:r>
    </w:p>
    <w:p w:rsidR="00A21CE7" w:rsidRDefault="00A21CE7" w:rsidP="00A21CE7">
      <w:pPr>
        <w:pStyle w:val="2"/>
      </w:pPr>
      <w:r>
        <w:t>7</w:t>
      </w:r>
      <w:r>
        <w:rPr>
          <w:rFonts w:hint="eastAsia"/>
        </w:rPr>
        <w:t>、</w:t>
      </w:r>
      <w:r w:rsidRPr="005520F2">
        <w:rPr>
          <w:rFonts w:hint="eastAsia"/>
        </w:rPr>
        <w:t>续课情况</w:t>
      </w:r>
      <w:r>
        <w:rPr>
          <w:rFonts w:hint="eastAsia"/>
        </w:rPr>
        <w:t>进一步</w:t>
      </w:r>
      <w:r w:rsidRPr="005520F2">
        <w:rPr>
          <w:rFonts w:hint="eastAsia"/>
        </w:rPr>
        <w:t>分析</w:t>
      </w:r>
    </w:p>
    <w:p w:rsidR="00A21CE7" w:rsidRDefault="00A21CE7" w:rsidP="00A21CE7">
      <w:pPr>
        <w:pStyle w:val="2"/>
      </w:pPr>
      <w:r>
        <w:rPr>
          <w:rFonts w:hint="eastAsia"/>
        </w:rPr>
        <w:t>8、课程到期后未完成课程占比</w:t>
      </w:r>
    </w:p>
    <w:p w:rsidR="00A21CE7" w:rsidRDefault="00A21CE7" w:rsidP="00A21CE7">
      <w:pPr>
        <w:pStyle w:val="2"/>
      </w:pPr>
      <w:r>
        <w:rPr>
          <w:rFonts w:hint="eastAsia"/>
        </w:rPr>
        <w:t>9、办理一年卡的健身课程销售金额情况分析</w:t>
      </w:r>
    </w:p>
    <w:p w:rsidR="00A21CE7" w:rsidRPr="00A21CE7" w:rsidRDefault="00A21CE7" w:rsidP="00A21CE7">
      <w:pPr>
        <w:rPr>
          <w:rFonts w:hint="eastAsia"/>
        </w:rPr>
      </w:pPr>
    </w:p>
    <w:p w:rsidR="00A21CE7" w:rsidRDefault="00AF51F6" w:rsidP="00A21CE7">
      <w:pPr>
        <w:pStyle w:val="1"/>
        <w:rPr>
          <w:sz w:val="30"/>
          <w:szCs w:val="30"/>
        </w:rPr>
      </w:pPr>
      <w:r>
        <w:rPr>
          <w:rFonts w:hint="eastAsia"/>
        </w:rPr>
        <w:t>&lt;三&gt;</w:t>
      </w:r>
      <w:r w:rsidR="00A21CE7" w:rsidRPr="00A95DB6">
        <w:rPr>
          <w:rFonts w:hint="eastAsia"/>
        </w:rPr>
        <w:t>黄政峰</w:t>
      </w:r>
      <w:r w:rsidR="00A21CE7">
        <w:rPr>
          <w:rFonts w:hint="eastAsia"/>
        </w:rPr>
        <w:t>分析报告：</w:t>
      </w:r>
    </w:p>
    <w:p w:rsidR="00A21CE7" w:rsidRDefault="00A21CE7" w:rsidP="00A21CE7">
      <w:pPr>
        <w:spacing w:line="360" w:lineRule="auto"/>
        <w:jc w:val="center"/>
        <w:rPr>
          <w:b/>
          <w:sz w:val="30"/>
          <w:szCs w:val="30"/>
        </w:rPr>
      </w:pPr>
      <w:r>
        <w:rPr>
          <w:rFonts w:hint="eastAsia"/>
          <w:b/>
          <w:sz w:val="30"/>
          <w:szCs w:val="30"/>
        </w:rPr>
        <w:t>数据统计分析报告</w:t>
      </w:r>
    </w:p>
    <w:p w:rsidR="00A21CE7" w:rsidRPr="00A95DB6" w:rsidRDefault="00A21CE7" w:rsidP="00A21CE7">
      <w:pPr>
        <w:spacing w:line="360" w:lineRule="auto"/>
        <w:rPr>
          <w:b/>
          <w:sz w:val="28"/>
          <w:szCs w:val="28"/>
        </w:rPr>
      </w:pPr>
      <w:r w:rsidRPr="00A95DB6">
        <w:rPr>
          <w:b/>
          <w:sz w:val="28"/>
          <w:szCs w:val="28"/>
        </w:rPr>
        <w:tab/>
      </w:r>
      <w:r w:rsidRPr="00A95DB6">
        <w:rPr>
          <w:b/>
          <w:sz w:val="28"/>
          <w:szCs w:val="28"/>
        </w:rPr>
        <w:tab/>
      </w:r>
      <w:r w:rsidRPr="00A95DB6">
        <w:rPr>
          <w:b/>
          <w:sz w:val="28"/>
          <w:szCs w:val="28"/>
        </w:rPr>
        <w:tab/>
      </w:r>
      <w:r w:rsidRPr="00A95DB6">
        <w:rPr>
          <w:b/>
          <w:sz w:val="28"/>
          <w:szCs w:val="28"/>
        </w:rPr>
        <w:tab/>
      </w:r>
      <w:r w:rsidRPr="00A95DB6">
        <w:rPr>
          <w:b/>
          <w:sz w:val="28"/>
          <w:szCs w:val="28"/>
        </w:rPr>
        <w:tab/>
      </w:r>
      <w:r w:rsidRPr="00A95DB6">
        <w:rPr>
          <w:b/>
          <w:sz w:val="28"/>
          <w:szCs w:val="28"/>
        </w:rPr>
        <w:tab/>
      </w:r>
      <w:r w:rsidRPr="00A95DB6">
        <w:rPr>
          <w:b/>
          <w:sz w:val="28"/>
          <w:szCs w:val="28"/>
        </w:rPr>
        <w:tab/>
      </w:r>
      <w:r w:rsidRPr="00A95DB6">
        <w:rPr>
          <w:b/>
          <w:sz w:val="28"/>
          <w:szCs w:val="28"/>
        </w:rPr>
        <w:tab/>
      </w:r>
      <w:r w:rsidRPr="00A95DB6">
        <w:rPr>
          <w:b/>
          <w:sz w:val="28"/>
          <w:szCs w:val="28"/>
        </w:rPr>
        <w:tab/>
      </w:r>
      <w:r w:rsidRPr="00A95DB6">
        <w:rPr>
          <w:b/>
          <w:sz w:val="28"/>
          <w:szCs w:val="28"/>
        </w:rPr>
        <w:tab/>
      </w:r>
      <w:r w:rsidRPr="00A95DB6">
        <w:rPr>
          <w:b/>
          <w:sz w:val="28"/>
          <w:szCs w:val="28"/>
        </w:rPr>
        <w:tab/>
      </w:r>
      <w:r w:rsidRPr="00A95DB6">
        <w:rPr>
          <w:b/>
          <w:sz w:val="28"/>
          <w:szCs w:val="28"/>
        </w:rPr>
        <w:tab/>
      </w:r>
      <w:r w:rsidRPr="00A95DB6">
        <w:rPr>
          <w:b/>
          <w:sz w:val="28"/>
          <w:szCs w:val="28"/>
        </w:rPr>
        <w:tab/>
      </w:r>
      <w:r w:rsidRPr="00A95DB6">
        <w:rPr>
          <w:b/>
          <w:sz w:val="28"/>
          <w:szCs w:val="28"/>
        </w:rPr>
        <w:tab/>
      </w:r>
      <w:r w:rsidRPr="00A95DB6">
        <w:rPr>
          <w:b/>
          <w:sz w:val="28"/>
          <w:szCs w:val="28"/>
        </w:rPr>
        <w:tab/>
      </w:r>
      <w:r w:rsidRPr="00A95DB6">
        <w:rPr>
          <w:rFonts w:hint="eastAsia"/>
          <w:b/>
          <w:sz w:val="28"/>
          <w:szCs w:val="28"/>
        </w:rPr>
        <w:t>——黄政峰</w:t>
      </w:r>
    </w:p>
    <w:p w:rsidR="00A21CE7" w:rsidRPr="00A95DB6" w:rsidRDefault="00AF51F6" w:rsidP="00AF51F6">
      <w:pPr>
        <w:pStyle w:val="1"/>
      </w:pPr>
      <w:r>
        <w:rPr>
          <w:rFonts w:hint="eastAsia"/>
        </w:rPr>
        <w:lastRenderedPageBreak/>
        <w:t>一、</w:t>
      </w:r>
      <w:r w:rsidR="00A21CE7" w:rsidRPr="00A95DB6">
        <w:rPr>
          <w:rFonts w:hint="eastAsia"/>
        </w:rPr>
        <w:t>基于潜客表的统计分析</w:t>
      </w:r>
    </w:p>
    <w:p w:rsidR="00A21CE7" w:rsidRPr="00F318B4" w:rsidRDefault="00A21CE7" w:rsidP="00AF51F6">
      <w:pPr>
        <w:pStyle w:val="2"/>
      </w:pPr>
      <w:r w:rsidRPr="00F318B4">
        <w:rPr>
          <w:rFonts w:hint="eastAsia"/>
        </w:rPr>
        <w:t>1、来源/状态/收入/家庭人口数占比（饼状图）</w:t>
      </w:r>
    </w:p>
    <w:p w:rsidR="00A21CE7" w:rsidRDefault="00A21CE7" w:rsidP="00A21CE7">
      <w:pPr>
        <w:spacing w:line="360" w:lineRule="auto"/>
        <w:jc w:val="center"/>
        <w:rPr>
          <w:sz w:val="24"/>
          <w:szCs w:val="24"/>
        </w:rPr>
      </w:pPr>
      <w:r>
        <w:rPr>
          <w:noProof/>
        </w:rPr>
        <w:drawing>
          <wp:inline distT="0" distB="0" distL="0" distR="0" wp14:anchorId="3D5EA092" wp14:editId="7242DEFF">
            <wp:extent cx="4572000" cy="2743200"/>
            <wp:effectExtent l="0" t="0" r="0" b="0"/>
            <wp:docPr id="20"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A21CE7" w:rsidRDefault="00A21CE7" w:rsidP="00A21CE7">
      <w:pPr>
        <w:spacing w:line="360" w:lineRule="auto"/>
        <w:jc w:val="left"/>
        <w:rPr>
          <w:sz w:val="24"/>
          <w:szCs w:val="24"/>
        </w:rPr>
      </w:pPr>
      <w:r>
        <w:rPr>
          <w:sz w:val="24"/>
          <w:szCs w:val="24"/>
        </w:rPr>
        <w:tab/>
      </w:r>
      <w:r>
        <w:rPr>
          <w:rFonts w:hint="eastAsia"/>
          <w:sz w:val="24"/>
          <w:szCs w:val="24"/>
        </w:rPr>
        <w:t>自动到访的潜客占比居多，其次是邀约到访，占比最小的是会员转介绍。符合健身者的心态，如果近期有健身意愿会亲自到店面或者电话咨询。如此看来，想要从这个部分提升业绩，需要加大公司广告宣传，提升公司知名度。另一方面，健身房的选址也十分重要，客户会选择就近的地方进行健身。</w:t>
      </w:r>
    </w:p>
    <w:p w:rsidR="00A21CE7" w:rsidRDefault="00A21CE7" w:rsidP="00A21CE7">
      <w:pPr>
        <w:spacing w:line="360" w:lineRule="auto"/>
        <w:jc w:val="left"/>
        <w:rPr>
          <w:sz w:val="24"/>
          <w:szCs w:val="24"/>
        </w:rPr>
      </w:pPr>
      <w:r>
        <w:rPr>
          <w:sz w:val="24"/>
          <w:szCs w:val="24"/>
        </w:rPr>
        <w:tab/>
      </w:r>
      <w:r>
        <w:rPr>
          <w:rFonts w:hint="eastAsia"/>
          <w:sz w:val="24"/>
          <w:szCs w:val="24"/>
        </w:rPr>
        <w:t>如果从占比最低的环节进行突破也是有利的，公司可以增加一些会员转介绍的优惠政策，从而提升该部分的潜客占比。</w:t>
      </w:r>
    </w:p>
    <w:p w:rsidR="00A21CE7" w:rsidRDefault="00A21CE7" w:rsidP="00A21CE7">
      <w:pPr>
        <w:spacing w:line="360" w:lineRule="auto"/>
        <w:jc w:val="center"/>
        <w:rPr>
          <w:sz w:val="24"/>
          <w:szCs w:val="24"/>
        </w:rPr>
      </w:pPr>
      <w:r>
        <w:rPr>
          <w:noProof/>
        </w:rPr>
        <w:lastRenderedPageBreak/>
        <w:drawing>
          <wp:inline distT="0" distB="0" distL="0" distR="0" wp14:anchorId="0A71D44D" wp14:editId="4BEA4498">
            <wp:extent cx="4572000" cy="2743200"/>
            <wp:effectExtent l="0" t="0" r="0" b="0"/>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A21CE7" w:rsidRDefault="00A21CE7" w:rsidP="00A21CE7">
      <w:pPr>
        <w:spacing w:line="360" w:lineRule="auto"/>
        <w:ind w:firstLine="420"/>
        <w:jc w:val="left"/>
        <w:rPr>
          <w:sz w:val="24"/>
          <w:szCs w:val="24"/>
        </w:rPr>
      </w:pPr>
      <w:r>
        <w:rPr>
          <w:rFonts w:hint="eastAsia"/>
          <w:sz w:val="24"/>
          <w:szCs w:val="24"/>
        </w:rPr>
        <w:t>潜客中，有60%的潜客为近期新增客户，30%的潜客已经转化成正式会员，仅有1%的潜客流失。接下来的工作需要对这大部分的新增潜客做进一步的追踪。加大该部分潜客的转正率。</w:t>
      </w:r>
    </w:p>
    <w:p w:rsidR="00A21CE7" w:rsidRDefault="00A21CE7" w:rsidP="00A21CE7">
      <w:pPr>
        <w:spacing w:line="360" w:lineRule="auto"/>
        <w:jc w:val="center"/>
        <w:rPr>
          <w:sz w:val="24"/>
          <w:szCs w:val="24"/>
        </w:rPr>
      </w:pPr>
    </w:p>
    <w:p w:rsidR="00A21CE7" w:rsidRDefault="00A21CE7" w:rsidP="00A21CE7">
      <w:pPr>
        <w:spacing w:line="360" w:lineRule="auto"/>
        <w:jc w:val="center"/>
        <w:rPr>
          <w:sz w:val="24"/>
          <w:szCs w:val="24"/>
        </w:rPr>
      </w:pPr>
      <w:r>
        <w:rPr>
          <w:noProof/>
        </w:rPr>
        <w:drawing>
          <wp:inline distT="0" distB="0" distL="0" distR="0" wp14:anchorId="75566504" wp14:editId="0E6E3694">
            <wp:extent cx="4572000" cy="2743200"/>
            <wp:effectExtent l="0" t="0" r="0" b="0"/>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A21CE7" w:rsidRDefault="00A21CE7" w:rsidP="00A21CE7">
      <w:pPr>
        <w:spacing w:line="360" w:lineRule="auto"/>
        <w:jc w:val="left"/>
        <w:rPr>
          <w:sz w:val="24"/>
          <w:szCs w:val="24"/>
        </w:rPr>
      </w:pPr>
      <w:r>
        <w:rPr>
          <w:sz w:val="24"/>
          <w:szCs w:val="24"/>
        </w:rPr>
        <w:tab/>
      </w:r>
      <w:r>
        <w:rPr>
          <w:rFonts w:hint="eastAsia"/>
          <w:sz w:val="24"/>
          <w:szCs w:val="24"/>
        </w:rPr>
        <w:t>从潜客的家庭成员统计可以看出，3~6人的家庭占比相当。（该属性为预处理阶段随机填充属性，或许跟实际情况有所出入）</w:t>
      </w:r>
    </w:p>
    <w:p w:rsidR="00A21CE7" w:rsidRDefault="00A21CE7" w:rsidP="00A21CE7">
      <w:pPr>
        <w:spacing w:line="360" w:lineRule="auto"/>
        <w:jc w:val="center"/>
        <w:rPr>
          <w:sz w:val="24"/>
          <w:szCs w:val="24"/>
        </w:rPr>
      </w:pPr>
    </w:p>
    <w:p w:rsidR="00A21CE7" w:rsidRDefault="00A21CE7" w:rsidP="00A21CE7">
      <w:pPr>
        <w:spacing w:line="360" w:lineRule="auto"/>
        <w:jc w:val="center"/>
        <w:rPr>
          <w:sz w:val="24"/>
          <w:szCs w:val="24"/>
        </w:rPr>
      </w:pPr>
      <w:r>
        <w:rPr>
          <w:noProof/>
        </w:rPr>
        <w:lastRenderedPageBreak/>
        <w:drawing>
          <wp:inline distT="0" distB="0" distL="0" distR="0" wp14:anchorId="35308370" wp14:editId="212F37F5">
            <wp:extent cx="5241133" cy="2743200"/>
            <wp:effectExtent l="0" t="0" r="17145" b="0"/>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A21CE7" w:rsidRDefault="00A21CE7" w:rsidP="00A21CE7">
      <w:pPr>
        <w:spacing w:line="360" w:lineRule="auto"/>
        <w:jc w:val="left"/>
        <w:rPr>
          <w:sz w:val="24"/>
          <w:szCs w:val="24"/>
        </w:rPr>
      </w:pPr>
      <w:r>
        <w:rPr>
          <w:sz w:val="24"/>
          <w:szCs w:val="24"/>
        </w:rPr>
        <w:tab/>
      </w:r>
      <w:r>
        <w:rPr>
          <w:rFonts w:hint="eastAsia"/>
          <w:sz w:val="24"/>
          <w:szCs w:val="24"/>
        </w:rPr>
        <w:t>工资收入分布可以看出，潜客的工资收入主要成正态分布的趋势。主要集中在7</w:t>
      </w:r>
      <w:r>
        <w:rPr>
          <w:sz w:val="24"/>
          <w:szCs w:val="24"/>
        </w:rPr>
        <w:t>K</w:t>
      </w:r>
      <w:r>
        <w:rPr>
          <w:rFonts w:hint="eastAsia"/>
          <w:sz w:val="24"/>
          <w:szCs w:val="24"/>
        </w:rPr>
        <w:t>~9</w:t>
      </w:r>
      <w:r>
        <w:rPr>
          <w:sz w:val="24"/>
          <w:szCs w:val="24"/>
        </w:rPr>
        <w:t>K</w:t>
      </w:r>
      <w:r>
        <w:rPr>
          <w:rFonts w:hint="eastAsia"/>
          <w:sz w:val="24"/>
          <w:szCs w:val="24"/>
        </w:rPr>
        <w:t>的部分，而25</w:t>
      </w:r>
      <w:r>
        <w:rPr>
          <w:sz w:val="24"/>
          <w:szCs w:val="24"/>
        </w:rPr>
        <w:t>K</w:t>
      </w:r>
      <w:r>
        <w:rPr>
          <w:rFonts w:hint="eastAsia"/>
          <w:sz w:val="24"/>
          <w:szCs w:val="24"/>
        </w:rPr>
        <w:t>以上的潜客相对较少。如此看来，公司应该把重要精力放在月收入10</w:t>
      </w:r>
      <w:r>
        <w:rPr>
          <w:sz w:val="24"/>
          <w:szCs w:val="24"/>
        </w:rPr>
        <w:t>K</w:t>
      </w:r>
      <w:r>
        <w:rPr>
          <w:rFonts w:hint="eastAsia"/>
          <w:sz w:val="24"/>
          <w:szCs w:val="24"/>
        </w:rPr>
        <w:t>左右的客户群体身上，将价格调整在其能接受的范围内。但是月收入超过20</w:t>
      </w:r>
      <w:r>
        <w:rPr>
          <w:sz w:val="24"/>
          <w:szCs w:val="24"/>
        </w:rPr>
        <w:t>K</w:t>
      </w:r>
      <w:r>
        <w:rPr>
          <w:rFonts w:hint="eastAsia"/>
          <w:sz w:val="24"/>
          <w:szCs w:val="24"/>
        </w:rPr>
        <w:t>的高端客户虽然人少，但是也是公司的</w:t>
      </w:r>
      <w:r>
        <w:rPr>
          <w:sz w:val="24"/>
          <w:szCs w:val="24"/>
        </w:rPr>
        <w:t>VIP</w:t>
      </w:r>
      <w:r>
        <w:rPr>
          <w:rFonts w:hint="eastAsia"/>
          <w:sz w:val="24"/>
          <w:szCs w:val="24"/>
        </w:rPr>
        <w:t>用户人群，需要专门打造一些特殊的服务去吸引此类潜客。</w:t>
      </w:r>
    </w:p>
    <w:p w:rsidR="00A21CE7" w:rsidRDefault="00A21CE7" w:rsidP="00A21CE7">
      <w:pPr>
        <w:spacing w:line="360" w:lineRule="auto"/>
        <w:jc w:val="center"/>
        <w:rPr>
          <w:sz w:val="24"/>
          <w:szCs w:val="24"/>
        </w:rPr>
      </w:pPr>
    </w:p>
    <w:p w:rsidR="00A21CE7" w:rsidRDefault="00A21CE7" w:rsidP="00AF51F6">
      <w:pPr>
        <w:pStyle w:val="2"/>
      </w:pPr>
      <w:r>
        <w:rPr>
          <w:rFonts w:hint="eastAsia"/>
        </w:rPr>
        <w:t>2、潜客年龄段分布（折线图）</w:t>
      </w:r>
    </w:p>
    <w:p w:rsidR="00A21CE7" w:rsidRDefault="00A21CE7" w:rsidP="00A21CE7">
      <w:pPr>
        <w:spacing w:line="360" w:lineRule="auto"/>
        <w:jc w:val="center"/>
        <w:rPr>
          <w:sz w:val="24"/>
          <w:szCs w:val="24"/>
        </w:rPr>
      </w:pPr>
      <w:r>
        <w:rPr>
          <w:noProof/>
        </w:rPr>
        <w:drawing>
          <wp:inline distT="0" distB="0" distL="0" distR="0" wp14:anchorId="2B82646F" wp14:editId="4453B32B">
            <wp:extent cx="4572000" cy="2743200"/>
            <wp:effectExtent l="0" t="0" r="0" b="0"/>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A21CE7" w:rsidRDefault="00A21CE7" w:rsidP="00A21CE7">
      <w:pPr>
        <w:spacing w:line="360" w:lineRule="auto"/>
        <w:jc w:val="left"/>
        <w:rPr>
          <w:sz w:val="24"/>
          <w:szCs w:val="24"/>
        </w:rPr>
      </w:pPr>
      <w:r>
        <w:rPr>
          <w:sz w:val="24"/>
          <w:szCs w:val="24"/>
        </w:rPr>
        <w:lastRenderedPageBreak/>
        <w:tab/>
      </w:r>
      <w:r>
        <w:rPr>
          <w:rFonts w:hint="eastAsia"/>
          <w:sz w:val="24"/>
          <w:szCs w:val="24"/>
        </w:rPr>
        <w:t>年龄段分布可以看出，潜客的年龄主要分布在80后。可能是因为该用户群体有相对较好的经济承担能力，同时由于即将步入中年，平日工作的辛勤使得对自身的身体有更多的关注。90后及70后也是健身潜客的主体。</w:t>
      </w:r>
    </w:p>
    <w:p w:rsidR="00A21CE7" w:rsidRPr="00316D9F" w:rsidRDefault="00A21CE7" w:rsidP="00AF51F6">
      <w:pPr>
        <w:spacing w:line="360" w:lineRule="auto"/>
        <w:ind w:firstLine="420"/>
        <w:jc w:val="left"/>
        <w:rPr>
          <w:rFonts w:hint="eastAsia"/>
          <w:sz w:val="24"/>
          <w:szCs w:val="24"/>
        </w:rPr>
      </w:pPr>
      <w:r>
        <w:rPr>
          <w:rFonts w:hint="eastAsia"/>
          <w:sz w:val="24"/>
          <w:szCs w:val="24"/>
        </w:rPr>
        <w:t>由图还可以看出，过了30岁之后，随着年纪的增加，健身潜客的数量出现递减的情况，一方面是由于身体素质的问题导致健身房的高强度健身无法适合该类人群，另一方面可能更多的考虑到经济的因素。由此，公司需要抓住00后及90后此类正值上升期的客户群体，加大相应的宣传力度。</w:t>
      </w:r>
    </w:p>
    <w:p w:rsidR="00A21CE7" w:rsidRPr="0052256A" w:rsidRDefault="00AF51F6" w:rsidP="00AF51F6">
      <w:pPr>
        <w:pStyle w:val="1"/>
      </w:pPr>
      <w:bookmarkStart w:id="12" w:name="_GoBack"/>
      <w:bookmarkEnd w:id="12"/>
      <w:r>
        <w:rPr>
          <w:rFonts w:hint="eastAsia"/>
        </w:rPr>
        <w:t>二、</w:t>
      </w:r>
      <w:r w:rsidR="00A21CE7" w:rsidRPr="0052256A">
        <w:rPr>
          <w:rFonts w:hint="eastAsia"/>
        </w:rPr>
        <w:t>基于会员表的统计分析：</w:t>
      </w:r>
    </w:p>
    <w:p w:rsidR="00A21CE7" w:rsidRPr="00F318B4" w:rsidRDefault="00A21CE7" w:rsidP="00AF51F6">
      <w:pPr>
        <w:pStyle w:val="2"/>
      </w:pPr>
      <w:r w:rsidRPr="00F318B4">
        <w:rPr>
          <w:rFonts w:hint="eastAsia"/>
        </w:rPr>
        <w:t>1、男女占比/卡种占比/级别占比/来源占比（饼状图）</w:t>
      </w:r>
    </w:p>
    <w:p w:rsidR="00A21CE7" w:rsidRDefault="00A21CE7" w:rsidP="00A21CE7">
      <w:pPr>
        <w:spacing w:line="360" w:lineRule="auto"/>
        <w:jc w:val="center"/>
        <w:rPr>
          <w:sz w:val="24"/>
          <w:szCs w:val="24"/>
        </w:rPr>
      </w:pPr>
      <w:r>
        <w:rPr>
          <w:noProof/>
        </w:rPr>
        <w:drawing>
          <wp:inline distT="0" distB="0" distL="0" distR="0" wp14:anchorId="5A0D3EFA" wp14:editId="4935EC2A">
            <wp:extent cx="4572000" cy="2743200"/>
            <wp:effectExtent l="0" t="0" r="0" b="0"/>
            <wp:docPr id="25" name="图表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A21CE7" w:rsidRDefault="00A21CE7" w:rsidP="00A21CE7">
      <w:pPr>
        <w:spacing w:line="360" w:lineRule="auto"/>
        <w:jc w:val="left"/>
        <w:rPr>
          <w:sz w:val="24"/>
          <w:szCs w:val="24"/>
        </w:rPr>
      </w:pPr>
      <w:r>
        <w:rPr>
          <w:sz w:val="24"/>
          <w:szCs w:val="24"/>
        </w:rPr>
        <w:tab/>
      </w:r>
      <w:r>
        <w:rPr>
          <w:rFonts w:hint="eastAsia"/>
          <w:sz w:val="24"/>
          <w:szCs w:val="24"/>
        </w:rPr>
        <w:t>由图可以看出，健身房的会员男女占比基本均衡。</w:t>
      </w:r>
    </w:p>
    <w:p w:rsidR="00A21CE7" w:rsidRDefault="00A21CE7" w:rsidP="00A21CE7">
      <w:pPr>
        <w:spacing w:line="360" w:lineRule="auto"/>
        <w:jc w:val="center"/>
        <w:rPr>
          <w:sz w:val="24"/>
          <w:szCs w:val="24"/>
        </w:rPr>
      </w:pPr>
    </w:p>
    <w:p w:rsidR="00A21CE7" w:rsidRDefault="00A21CE7" w:rsidP="00A21CE7">
      <w:pPr>
        <w:spacing w:line="360" w:lineRule="auto"/>
        <w:jc w:val="center"/>
        <w:rPr>
          <w:sz w:val="24"/>
          <w:szCs w:val="24"/>
        </w:rPr>
      </w:pPr>
      <w:r>
        <w:rPr>
          <w:noProof/>
        </w:rPr>
        <w:lastRenderedPageBreak/>
        <w:drawing>
          <wp:inline distT="0" distB="0" distL="0" distR="0" wp14:anchorId="34B1DDF3" wp14:editId="269C9330">
            <wp:extent cx="4572000" cy="2743200"/>
            <wp:effectExtent l="0" t="0" r="0" b="0"/>
            <wp:docPr id="26" name="图表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A21CE7" w:rsidRDefault="00A21CE7" w:rsidP="00A21CE7">
      <w:pPr>
        <w:spacing w:line="360" w:lineRule="auto"/>
        <w:rPr>
          <w:sz w:val="24"/>
          <w:szCs w:val="24"/>
        </w:rPr>
      </w:pPr>
      <w:r>
        <w:rPr>
          <w:sz w:val="24"/>
          <w:szCs w:val="24"/>
        </w:rPr>
        <w:tab/>
      </w:r>
      <w:r>
        <w:rPr>
          <w:rFonts w:hint="eastAsia"/>
          <w:sz w:val="24"/>
          <w:szCs w:val="24"/>
        </w:rPr>
        <w:t>普通卡是健身房的主要卡种，几乎所有的客户都选择办理普通会员。而在剩下的会员中，VIP卡相对占比较高。V</w:t>
      </w:r>
      <w:r>
        <w:rPr>
          <w:sz w:val="24"/>
          <w:szCs w:val="24"/>
        </w:rPr>
        <w:t>IP</w:t>
      </w:r>
      <w:r>
        <w:rPr>
          <w:rFonts w:hint="eastAsia"/>
          <w:sz w:val="24"/>
          <w:szCs w:val="24"/>
        </w:rPr>
        <w:t>卡种在总卡种中占比过低，应该从宣传力度、服务等诸多方面的提升，提高普通卡种转化成VIP卡的比例。尤其是从上述高端收入人群中进行宣传。</w:t>
      </w:r>
    </w:p>
    <w:p w:rsidR="00A21CE7" w:rsidRDefault="00A21CE7" w:rsidP="00A21CE7">
      <w:pPr>
        <w:spacing w:line="360" w:lineRule="auto"/>
        <w:jc w:val="center"/>
        <w:rPr>
          <w:sz w:val="24"/>
          <w:szCs w:val="24"/>
        </w:rPr>
      </w:pPr>
      <w:r>
        <w:rPr>
          <w:noProof/>
        </w:rPr>
        <mc:AlternateContent>
          <mc:Choice Requires="cx">
            <w:drawing>
              <wp:inline distT="0" distB="0" distL="0" distR="0" wp14:anchorId="5FC75F18" wp14:editId="7E980092">
                <wp:extent cx="4572000" cy="2743200"/>
                <wp:effectExtent l="0" t="0" r="0" b="0"/>
                <wp:docPr id="27" name="图表 27"/>
                <wp:cNvGraphicFramePr/>
                <a:graphic xmlns:a="http://schemas.openxmlformats.org/drawingml/2006/main">
                  <a:graphicData uri="http://schemas.microsoft.com/office/drawing/2014/chartex">
                    <c:chart xmlns:c="http://schemas.openxmlformats.org/drawingml/2006/chart" xmlns:r="http://schemas.openxmlformats.org/officeDocument/2006/relationships" r:id="rId31"/>
                  </a:graphicData>
                </a:graphic>
              </wp:inline>
            </w:drawing>
          </mc:Choice>
          <mc:Fallback>
            <w:drawing>
              <wp:inline distT="0" distB="0" distL="0" distR="0" wp14:anchorId="5FC75F18" wp14:editId="7E980092">
                <wp:extent cx="4572000" cy="2743200"/>
                <wp:effectExtent l="0" t="0" r="0" b="0"/>
                <wp:docPr id="27" name="图表 27"/>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7" name="图表 27"/>
                        <pic:cNvPicPr>
                          <a:picLocks noGrp="1" noRot="1" noChangeAspect="1" noMove="1" noResize="1" noEditPoints="1" noAdjustHandles="1" noChangeArrowheads="1" noChangeShapeType="1"/>
                        </pic:cNvPicPr>
                      </pic:nvPicPr>
                      <pic:blipFill>
                        <a:blip r:embed="rId32"/>
                        <a:stretch>
                          <a:fillRect/>
                        </a:stretch>
                      </pic:blipFill>
                      <pic:spPr>
                        <a:xfrm>
                          <a:off x="0" y="0"/>
                          <a:ext cx="4572000" cy="2743200"/>
                        </a:xfrm>
                        <a:prstGeom prst="rect">
                          <a:avLst/>
                        </a:prstGeom>
                      </pic:spPr>
                    </pic:pic>
                  </a:graphicData>
                </a:graphic>
              </wp:inline>
            </w:drawing>
          </mc:Fallback>
        </mc:AlternateContent>
      </w:r>
    </w:p>
    <w:p w:rsidR="00A21CE7" w:rsidRDefault="00A21CE7" w:rsidP="00A21CE7">
      <w:pPr>
        <w:spacing w:line="360" w:lineRule="auto"/>
        <w:jc w:val="left"/>
        <w:rPr>
          <w:sz w:val="24"/>
          <w:szCs w:val="24"/>
        </w:rPr>
      </w:pPr>
      <w:r>
        <w:rPr>
          <w:sz w:val="24"/>
          <w:szCs w:val="24"/>
        </w:rPr>
        <w:tab/>
      </w:r>
      <w:r>
        <w:rPr>
          <w:rFonts w:hint="eastAsia"/>
          <w:sz w:val="24"/>
          <w:szCs w:val="24"/>
        </w:rPr>
        <w:t>会员来源分为四个途径，相比之下，活动推广、转介绍及店面销售占比较多，媒体广告占比较少。这和公司的销售策略相关。</w:t>
      </w:r>
    </w:p>
    <w:p w:rsidR="00A21CE7" w:rsidRDefault="00A21CE7" w:rsidP="00A21CE7">
      <w:pPr>
        <w:spacing w:line="360" w:lineRule="auto"/>
        <w:rPr>
          <w:sz w:val="24"/>
          <w:szCs w:val="24"/>
        </w:rPr>
      </w:pPr>
    </w:p>
    <w:p w:rsidR="00A21CE7" w:rsidRDefault="00A21CE7" w:rsidP="00AF51F6">
      <w:pPr>
        <w:pStyle w:val="2"/>
      </w:pPr>
      <w:r>
        <w:rPr>
          <w:rFonts w:hint="eastAsia"/>
        </w:rPr>
        <w:lastRenderedPageBreak/>
        <w:t>2、办卡时年龄分布（折线图）</w:t>
      </w:r>
    </w:p>
    <w:p w:rsidR="00A21CE7" w:rsidRDefault="00A21CE7" w:rsidP="00A21CE7">
      <w:pPr>
        <w:spacing w:line="360" w:lineRule="auto"/>
        <w:jc w:val="center"/>
        <w:rPr>
          <w:sz w:val="24"/>
          <w:szCs w:val="24"/>
        </w:rPr>
      </w:pPr>
      <w:r>
        <w:rPr>
          <w:noProof/>
        </w:rPr>
        <w:drawing>
          <wp:inline distT="0" distB="0" distL="0" distR="0" wp14:anchorId="285ACD9D" wp14:editId="3E8EBB27">
            <wp:extent cx="4979193" cy="2997993"/>
            <wp:effectExtent l="0" t="0" r="12065" b="12065"/>
            <wp:docPr id="28" name="图表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A21CE7" w:rsidRDefault="00A21CE7" w:rsidP="00A21CE7">
      <w:pPr>
        <w:spacing w:line="360" w:lineRule="auto"/>
        <w:jc w:val="left"/>
        <w:rPr>
          <w:sz w:val="24"/>
          <w:szCs w:val="24"/>
        </w:rPr>
      </w:pPr>
      <w:r>
        <w:rPr>
          <w:sz w:val="24"/>
          <w:szCs w:val="24"/>
        </w:rPr>
        <w:tab/>
      </w:r>
      <w:r>
        <w:rPr>
          <w:rFonts w:hint="eastAsia"/>
          <w:sz w:val="24"/>
          <w:szCs w:val="24"/>
        </w:rPr>
        <w:t>由于办卡开始时间并不统一，所以我们在统计分析时，更加注重客户是在什么年龄段时办理的会员卡，而不是当前该客户处在什么年龄段。由图可以看出，办理会员卡的年龄段集中在20岁~35岁之间。同潜客年龄分布相似，25~30岁为健身高峰，30岁之后办卡会员人数处于下降趋势，30岁之前处于上升趋势。</w:t>
      </w:r>
    </w:p>
    <w:p w:rsidR="00A21CE7" w:rsidRDefault="00A21CE7" w:rsidP="00A21CE7">
      <w:pPr>
        <w:spacing w:line="360" w:lineRule="auto"/>
        <w:jc w:val="left"/>
        <w:rPr>
          <w:sz w:val="24"/>
          <w:szCs w:val="24"/>
        </w:rPr>
      </w:pPr>
    </w:p>
    <w:p w:rsidR="00A21CE7" w:rsidRDefault="00A21CE7" w:rsidP="00AF51F6">
      <w:pPr>
        <w:pStyle w:val="2"/>
      </w:pPr>
      <w:r>
        <w:rPr>
          <w:rFonts w:hint="eastAsia"/>
        </w:rPr>
        <w:lastRenderedPageBreak/>
        <w:t>3、会员卡年限分布（饼状图）</w:t>
      </w:r>
    </w:p>
    <w:p w:rsidR="00A21CE7" w:rsidRDefault="00A21CE7" w:rsidP="00A21CE7">
      <w:pPr>
        <w:spacing w:line="360" w:lineRule="auto"/>
        <w:jc w:val="center"/>
        <w:rPr>
          <w:sz w:val="24"/>
          <w:szCs w:val="24"/>
        </w:rPr>
      </w:pPr>
      <w:r>
        <w:rPr>
          <w:noProof/>
        </w:rPr>
        <w:drawing>
          <wp:inline distT="0" distB="0" distL="0" distR="0" wp14:anchorId="04AEAD13" wp14:editId="3C326694">
            <wp:extent cx="4915561" cy="2901766"/>
            <wp:effectExtent l="0" t="0" r="18415" b="13335"/>
            <wp:docPr id="29" name="图表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A21CE7" w:rsidRDefault="00A21CE7" w:rsidP="00A21CE7">
      <w:pPr>
        <w:spacing w:line="360" w:lineRule="auto"/>
        <w:jc w:val="left"/>
        <w:rPr>
          <w:sz w:val="24"/>
          <w:szCs w:val="24"/>
        </w:rPr>
      </w:pPr>
      <w:r>
        <w:rPr>
          <w:sz w:val="24"/>
          <w:szCs w:val="24"/>
        </w:rPr>
        <w:tab/>
      </w:r>
      <w:r>
        <w:rPr>
          <w:rFonts w:hint="eastAsia"/>
          <w:sz w:val="24"/>
          <w:szCs w:val="24"/>
        </w:rPr>
        <w:t>1年卡成为了客户办理的主要卡种，相对来说大多数的客户在选择办理了短期的月卡之后会选择办理年卡。但是办理年卡的客户在转换到第二年甚至更长时间的卡种时会出现相应的流失。一方面人们在选择健身的时候很难做到坚持，另一方面公司在对客户体验上也是减少流失率的关键因素。</w:t>
      </w:r>
    </w:p>
    <w:p w:rsidR="00A21CE7" w:rsidRDefault="00A21CE7" w:rsidP="00A21CE7">
      <w:pPr>
        <w:spacing w:line="360" w:lineRule="auto"/>
        <w:jc w:val="left"/>
        <w:rPr>
          <w:sz w:val="24"/>
          <w:szCs w:val="24"/>
        </w:rPr>
      </w:pPr>
    </w:p>
    <w:p w:rsidR="00A21CE7" w:rsidRPr="00921D12" w:rsidRDefault="00A21CE7" w:rsidP="00A21CE7"/>
    <w:p w:rsidR="00BD5D80" w:rsidRPr="00A21CE7" w:rsidRDefault="00640ACB"/>
    <w:sectPr w:rsidR="00BD5D80" w:rsidRPr="00A21CE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930706"/>
    <w:multiLevelType w:val="hybridMultilevel"/>
    <w:tmpl w:val="C3B2254E"/>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11AB0B74"/>
    <w:multiLevelType w:val="hybridMultilevel"/>
    <w:tmpl w:val="2C668E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39F0099"/>
    <w:multiLevelType w:val="hybridMultilevel"/>
    <w:tmpl w:val="37342B92"/>
    <w:lvl w:ilvl="0" w:tplc="04090019">
      <w:start w:val="1"/>
      <w:numFmt w:val="lowerLetter"/>
      <w:lvlText w:val="%1)"/>
      <w:lvlJc w:val="left"/>
      <w:pPr>
        <w:ind w:left="1500" w:hanging="420"/>
      </w:p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3" w15:restartNumberingAfterBreak="0">
    <w:nsid w:val="14733E75"/>
    <w:multiLevelType w:val="hybridMultilevel"/>
    <w:tmpl w:val="C3B2254E"/>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303228AF"/>
    <w:multiLevelType w:val="hybridMultilevel"/>
    <w:tmpl w:val="D460F3FE"/>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 w15:restartNumberingAfterBreak="0">
    <w:nsid w:val="330805D3"/>
    <w:multiLevelType w:val="hybridMultilevel"/>
    <w:tmpl w:val="2DD80952"/>
    <w:lvl w:ilvl="0" w:tplc="04090019">
      <w:start w:val="1"/>
      <w:numFmt w:val="lowerLetter"/>
      <w:lvlText w:val="%1)"/>
      <w:lvlJc w:val="left"/>
      <w:pPr>
        <w:ind w:left="1500" w:hanging="420"/>
      </w:p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6" w15:restartNumberingAfterBreak="0">
    <w:nsid w:val="3B015B60"/>
    <w:multiLevelType w:val="hybridMultilevel"/>
    <w:tmpl w:val="3F864520"/>
    <w:lvl w:ilvl="0" w:tplc="C2ACB1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BDB7DCE"/>
    <w:multiLevelType w:val="hybridMultilevel"/>
    <w:tmpl w:val="79A2C0DC"/>
    <w:lvl w:ilvl="0" w:tplc="67D246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E2305A5"/>
    <w:multiLevelType w:val="hybridMultilevel"/>
    <w:tmpl w:val="8ADC90FC"/>
    <w:lvl w:ilvl="0" w:tplc="04090019">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466A150C"/>
    <w:multiLevelType w:val="hybridMultilevel"/>
    <w:tmpl w:val="55B21B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2373FAC"/>
    <w:multiLevelType w:val="hybridMultilevel"/>
    <w:tmpl w:val="0F801638"/>
    <w:lvl w:ilvl="0" w:tplc="04090019">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1" w15:restartNumberingAfterBreak="0">
    <w:nsid w:val="60055C15"/>
    <w:multiLevelType w:val="hybridMultilevel"/>
    <w:tmpl w:val="B4D03BFC"/>
    <w:lvl w:ilvl="0" w:tplc="04090019">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2" w15:restartNumberingAfterBreak="0">
    <w:nsid w:val="63044B20"/>
    <w:multiLevelType w:val="hybridMultilevel"/>
    <w:tmpl w:val="C3B2254E"/>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6F514135"/>
    <w:multiLevelType w:val="hybridMultilevel"/>
    <w:tmpl w:val="B94C245A"/>
    <w:lvl w:ilvl="0" w:tplc="04090019">
      <w:start w:val="1"/>
      <w:numFmt w:val="lowerLetter"/>
      <w:lvlText w:val="%1)"/>
      <w:lvlJc w:val="left"/>
      <w:pPr>
        <w:ind w:left="1500" w:hanging="420"/>
      </w:p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num w:numId="1">
    <w:abstractNumId w:val="6"/>
  </w:num>
  <w:num w:numId="2">
    <w:abstractNumId w:val="10"/>
  </w:num>
  <w:num w:numId="3">
    <w:abstractNumId w:val="1"/>
  </w:num>
  <w:num w:numId="4">
    <w:abstractNumId w:val="3"/>
  </w:num>
  <w:num w:numId="5">
    <w:abstractNumId w:val="0"/>
  </w:num>
  <w:num w:numId="6">
    <w:abstractNumId w:val="2"/>
  </w:num>
  <w:num w:numId="7">
    <w:abstractNumId w:val="4"/>
  </w:num>
  <w:num w:numId="8">
    <w:abstractNumId w:val="5"/>
  </w:num>
  <w:num w:numId="9">
    <w:abstractNumId w:val="13"/>
  </w:num>
  <w:num w:numId="10">
    <w:abstractNumId w:val="12"/>
  </w:num>
  <w:num w:numId="11">
    <w:abstractNumId w:val="9"/>
  </w:num>
  <w:num w:numId="12">
    <w:abstractNumId w:val="7"/>
  </w:num>
  <w:num w:numId="13">
    <w:abstractNumId w:val="8"/>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483A"/>
    <w:rsid w:val="005206B5"/>
    <w:rsid w:val="00640ACB"/>
    <w:rsid w:val="00A21CE7"/>
    <w:rsid w:val="00AF51F6"/>
    <w:rsid w:val="00C0483A"/>
    <w:rsid w:val="00EF3E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BFBF3"/>
  <w15:chartTrackingRefBased/>
  <w15:docId w15:val="{A077CCD1-3F8A-49E2-A3E9-49DDF01E3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21CE7"/>
    <w:pPr>
      <w:widowControl w:val="0"/>
      <w:jc w:val="both"/>
    </w:pPr>
  </w:style>
  <w:style w:type="paragraph" w:styleId="1">
    <w:name w:val="heading 1"/>
    <w:basedOn w:val="a"/>
    <w:next w:val="a"/>
    <w:link w:val="10"/>
    <w:uiPriority w:val="9"/>
    <w:qFormat/>
    <w:rsid w:val="00A21CE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21CE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21CE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21CE7"/>
    <w:rPr>
      <w:b/>
      <w:bCs/>
      <w:kern w:val="44"/>
      <w:sz w:val="44"/>
      <w:szCs w:val="44"/>
    </w:rPr>
  </w:style>
  <w:style w:type="character" w:customStyle="1" w:styleId="20">
    <w:name w:val="标题 2 字符"/>
    <w:basedOn w:val="a0"/>
    <w:link w:val="2"/>
    <w:uiPriority w:val="9"/>
    <w:rsid w:val="00A21CE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21CE7"/>
    <w:rPr>
      <w:b/>
      <w:bCs/>
      <w:sz w:val="32"/>
      <w:szCs w:val="32"/>
    </w:rPr>
  </w:style>
  <w:style w:type="paragraph" w:styleId="a3">
    <w:name w:val="List Paragraph"/>
    <w:basedOn w:val="a"/>
    <w:uiPriority w:val="34"/>
    <w:qFormat/>
    <w:rsid w:val="00A21CE7"/>
    <w:pPr>
      <w:ind w:firstLineChars="200" w:firstLine="420"/>
    </w:pPr>
  </w:style>
  <w:style w:type="paragraph" w:styleId="TOC">
    <w:name w:val="TOC Heading"/>
    <w:basedOn w:val="1"/>
    <w:next w:val="a"/>
    <w:uiPriority w:val="39"/>
    <w:unhideWhenUsed/>
    <w:qFormat/>
    <w:rsid w:val="00A21CE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A21CE7"/>
  </w:style>
  <w:style w:type="paragraph" w:styleId="21">
    <w:name w:val="toc 2"/>
    <w:basedOn w:val="a"/>
    <w:next w:val="a"/>
    <w:autoRedefine/>
    <w:uiPriority w:val="39"/>
    <w:unhideWhenUsed/>
    <w:rsid w:val="00A21CE7"/>
    <w:pPr>
      <w:ind w:leftChars="200" w:left="420"/>
    </w:pPr>
  </w:style>
  <w:style w:type="paragraph" w:styleId="31">
    <w:name w:val="toc 3"/>
    <w:basedOn w:val="a"/>
    <w:next w:val="a"/>
    <w:autoRedefine/>
    <w:uiPriority w:val="39"/>
    <w:unhideWhenUsed/>
    <w:rsid w:val="00A21CE7"/>
    <w:pPr>
      <w:ind w:leftChars="400" w:left="840"/>
    </w:pPr>
  </w:style>
  <w:style w:type="character" w:styleId="a4">
    <w:name w:val="Hyperlink"/>
    <w:basedOn w:val="a0"/>
    <w:uiPriority w:val="99"/>
    <w:unhideWhenUsed/>
    <w:rsid w:val="00A21CE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chart" Target="charts/chart3.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chart" Target="charts/chart10.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chart" Target="charts/chart2.xml"/><Relationship Id="rId33" Type="http://schemas.openxmlformats.org/officeDocument/2006/relationships/chart" Target="charts/chart9.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chart" Target="charts/chart6.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chart" Target="charts/chart1.xml"/><Relationship Id="rId32"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chart" Target="charts/chart5.xml"/><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chart" Target="charts/chart8.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chart" Target="charts/chart4.xml"/><Relationship Id="rId30" Type="http://schemas.openxmlformats.org/officeDocument/2006/relationships/chart" Target="charts/chart7.xml"/><Relationship Id="rId35" Type="http://schemas.openxmlformats.org/officeDocument/2006/relationships/fontTable" Target="fontTable.xml"/><Relationship Id="rId8"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overh\Desktop\&#35838;&#31243;\&#23454;&#35757;\&#25968;&#25454;\&#22788;&#29702;&#21518;&#25968;&#25454;_&#20250;&#21592;&amp;&#28508;&#23458;&amp;PT&#38144;&#21806;&#35838;&#31243;.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overh\Desktop\&#35838;&#31243;\&#23454;&#35757;\&#25968;&#25454;\&#22788;&#29702;&#21518;&#25968;&#25454;_fenxi.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overh\Desktop\&#35838;&#31243;\&#23454;&#35757;\&#25968;&#25454;\&#22788;&#29702;&#21518;&#25968;&#25454;_&#20250;&#21592;&amp;&#28508;&#23458;&amp;PT&#38144;&#21806;&#35838;&#31243;.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overh\Desktop\&#35838;&#31243;\&#23454;&#35757;\&#25968;&#25454;\&#22788;&#29702;&#21518;&#25968;&#25454;_fenxi.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overh\Desktop\&#35838;&#31243;\&#23454;&#35757;\&#25968;&#25454;\&#22788;&#29702;&#21518;&#25968;&#25454;_fenxi.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overh\Desktop\&#35838;&#31243;\&#23454;&#35757;\&#25968;&#25454;\&#22788;&#29702;&#21518;&#25968;&#25454;_fenxi.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overh\Desktop\&#35838;&#31243;\&#23454;&#35757;\&#25968;&#25454;\&#22788;&#29702;&#21518;&#25968;&#25454;_fenxi.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overh\Desktop\&#35838;&#31243;\&#23454;&#35757;\&#25968;&#25454;\&#22788;&#29702;&#21518;&#25968;&#25454;_fenxi.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oleObject" Target="file:///C:\Users\overh\Desktop\&#35838;&#31243;\&#23454;&#35757;\&#25968;&#25454;\&#22788;&#29702;&#21518;&#25968;&#25454;_fenxi.xlsx" TargetMode="External"/></Relationships>
</file>

<file path=word/charts/_rels/chart9.xml.rels><?xml version="1.0" encoding="UTF-8" standalone="yes"?>
<Relationships xmlns="http://schemas.openxmlformats.org/package/2006/relationships"><Relationship Id="rId3" Type="http://schemas.openxmlformats.org/officeDocument/2006/relationships/oleObject" Target="file:///C:\Users\overh\Desktop\&#35838;&#31243;\&#23454;&#35757;\&#25968;&#25454;\&#22788;&#29702;&#21518;&#25968;&#25454;_fenxi.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zh-CN" altLang="en-US"/>
              <a:t>潜客来源统计</a:t>
            </a:r>
            <a:endParaRPr lang="zh-CN"/>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zh-CN"/>
        </a:p>
      </c:txPr>
    </c:title>
    <c:autoTitleDeleted val="0"/>
    <c:plotArea>
      <c:layout>
        <c:manualLayout>
          <c:layoutTarget val="inner"/>
          <c:xMode val="edge"/>
          <c:yMode val="edge"/>
          <c:x val="0.29283355205599298"/>
          <c:y val="0.16187518226888309"/>
          <c:w val="0.39766622922134731"/>
          <c:h val="0.66277704870224552"/>
        </c:manualLayout>
      </c:layout>
      <c:doughnutChart>
        <c:varyColors val="1"/>
        <c:ser>
          <c:idx val="0"/>
          <c:order val="0"/>
          <c:dPt>
            <c:idx val="0"/>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17FC-4D6F-9DEF-7FCDA3A0A950}"/>
              </c:ext>
            </c:extLst>
          </c:dPt>
          <c:dPt>
            <c:idx val="1"/>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17FC-4D6F-9DEF-7FCDA3A0A950}"/>
              </c:ext>
            </c:extLst>
          </c:dPt>
          <c:dPt>
            <c:idx val="2"/>
            <c:bubble3D val="0"/>
            <c:spPr>
              <a:solidFill>
                <a:schemeClr val="accent6"/>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17FC-4D6F-9DEF-7FCDA3A0A950}"/>
              </c:ext>
            </c:extLst>
          </c:dPt>
          <c:dPt>
            <c:idx val="3"/>
            <c:bubble3D val="0"/>
            <c:spPr>
              <a:solidFill>
                <a:schemeClr val="accent2">
                  <a:lumMod val="6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17FC-4D6F-9DEF-7FCDA3A0A950}"/>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Sheet1!$B$3:$B$6</c:f>
              <c:strCache>
                <c:ptCount val="4"/>
                <c:pt idx="0">
                  <c:v>自动到访</c:v>
                </c:pt>
                <c:pt idx="1">
                  <c:v>邀约到访</c:v>
                </c:pt>
                <c:pt idx="2">
                  <c:v>销售拉访</c:v>
                </c:pt>
                <c:pt idx="3">
                  <c:v>会员转介绍</c:v>
                </c:pt>
              </c:strCache>
            </c:strRef>
          </c:cat>
          <c:val>
            <c:numRef>
              <c:f>Sheet1!$C$3:$C$6</c:f>
              <c:numCache>
                <c:formatCode>General</c:formatCode>
                <c:ptCount val="4"/>
                <c:pt idx="0">
                  <c:v>42116</c:v>
                </c:pt>
                <c:pt idx="1">
                  <c:v>18396</c:v>
                </c:pt>
                <c:pt idx="2">
                  <c:v>13125</c:v>
                </c:pt>
                <c:pt idx="3">
                  <c:v>845</c:v>
                </c:pt>
              </c:numCache>
            </c:numRef>
          </c:val>
          <c:extLst>
            <c:ext xmlns:c16="http://schemas.microsoft.com/office/drawing/2014/chart" uri="{C3380CC4-5D6E-409C-BE32-E72D297353CC}">
              <c16:uniqueId val="{00000008-17FC-4D6F-9DEF-7FCDA3A0A950}"/>
            </c:ext>
          </c:extLst>
        </c:ser>
        <c:dLbls>
          <c:showLegendKey val="0"/>
          <c:showVal val="0"/>
          <c:showCatName val="0"/>
          <c:showSerName val="0"/>
          <c:showPercent val="1"/>
          <c:showBubbleSize val="0"/>
          <c:showLeaderLines val="1"/>
        </c:dLbls>
        <c:firstSliceAng val="0"/>
        <c:holeSize val="70"/>
      </c:doughnut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zh-CN"/>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zh-CN" altLang="en-US"/>
              <a:t>办卡年限分布</a:t>
            </a:r>
            <a:endParaRPr lang="zh-CN"/>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zh-CN"/>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Sheet2!$B$20:$B$33</c:f>
              <c:strCache>
                <c:ptCount val="14"/>
                <c:pt idx="0">
                  <c:v>1个月</c:v>
                </c:pt>
                <c:pt idx="1">
                  <c:v>3个月</c:v>
                </c:pt>
                <c:pt idx="2">
                  <c:v>6个月</c:v>
                </c:pt>
                <c:pt idx="3">
                  <c:v>1年</c:v>
                </c:pt>
                <c:pt idx="4">
                  <c:v>2年</c:v>
                </c:pt>
                <c:pt idx="5">
                  <c:v>3年</c:v>
                </c:pt>
                <c:pt idx="6">
                  <c:v>4年</c:v>
                </c:pt>
                <c:pt idx="7">
                  <c:v>5年</c:v>
                </c:pt>
                <c:pt idx="8">
                  <c:v>6年</c:v>
                </c:pt>
                <c:pt idx="9">
                  <c:v>7年</c:v>
                </c:pt>
                <c:pt idx="10">
                  <c:v>8年</c:v>
                </c:pt>
                <c:pt idx="11">
                  <c:v>9年</c:v>
                </c:pt>
                <c:pt idx="12">
                  <c:v>10年</c:v>
                </c:pt>
                <c:pt idx="13">
                  <c:v>10年以上</c:v>
                </c:pt>
              </c:strCache>
            </c:strRef>
          </c:cat>
          <c:val>
            <c:numRef>
              <c:f>Sheet2!$C$20:$C$33</c:f>
              <c:numCache>
                <c:formatCode>General</c:formatCode>
                <c:ptCount val="14"/>
                <c:pt idx="0">
                  <c:v>989</c:v>
                </c:pt>
                <c:pt idx="1">
                  <c:v>329</c:v>
                </c:pt>
                <c:pt idx="2">
                  <c:v>44</c:v>
                </c:pt>
                <c:pt idx="3">
                  <c:v>8498</c:v>
                </c:pt>
                <c:pt idx="4">
                  <c:v>5361</c:v>
                </c:pt>
                <c:pt idx="5">
                  <c:v>647</c:v>
                </c:pt>
                <c:pt idx="6">
                  <c:v>1585</c:v>
                </c:pt>
                <c:pt idx="7">
                  <c:v>3530</c:v>
                </c:pt>
                <c:pt idx="8">
                  <c:v>103</c:v>
                </c:pt>
                <c:pt idx="9">
                  <c:v>36</c:v>
                </c:pt>
                <c:pt idx="10">
                  <c:v>25</c:v>
                </c:pt>
                <c:pt idx="11">
                  <c:v>18</c:v>
                </c:pt>
                <c:pt idx="12">
                  <c:v>788</c:v>
                </c:pt>
                <c:pt idx="13">
                  <c:v>71</c:v>
                </c:pt>
              </c:numCache>
            </c:numRef>
          </c:val>
          <c:extLst>
            <c:ext xmlns:c16="http://schemas.microsoft.com/office/drawing/2014/chart" uri="{C3380CC4-5D6E-409C-BE32-E72D297353CC}">
              <c16:uniqueId val="{00000000-3128-4D23-8A5B-7175A69A5D6B}"/>
            </c:ext>
          </c:extLst>
        </c:ser>
        <c:dLbls>
          <c:showLegendKey val="0"/>
          <c:showVal val="1"/>
          <c:showCatName val="0"/>
          <c:showSerName val="0"/>
          <c:showPercent val="0"/>
          <c:showBubbleSize val="0"/>
        </c:dLbls>
        <c:gapWidth val="150"/>
        <c:shape val="box"/>
        <c:axId val="552858712"/>
        <c:axId val="552861664"/>
        <c:axId val="0"/>
      </c:bar3DChart>
      <c:catAx>
        <c:axId val="552858712"/>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2861664"/>
        <c:crosses val="autoZero"/>
        <c:auto val="1"/>
        <c:lblAlgn val="ctr"/>
        <c:lblOffset val="100"/>
        <c:noMultiLvlLbl val="0"/>
      </c:catAx>
      <c:valAx>
        <c:axId val="552861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28587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zh-CN" altLang="en-US"/>
              <a:t>潜客状态统计</a:t>
            </a:r>
            <a:endParaRPr lang="zh-CN"/>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zh-CN"/>
        </a:p>
      </c:txPr>
    </c:title>
    <c:autoTitleDeleted val="0"/>
    <c:plotArea>
      <c:layout>
        <c:manualLayout>
          <c:layoutTarget val="inner"/>
          <c:xMode val="edge"/>
          <c:yMode val="edge"/>
          <c:x val="0.30309383202099738"/>
          <c:y val="0.18226268591426073"/>
          <c:w val="0.41325678040244962"/>
          <c:h val="0.68876130067074937"/>
        </c:manualLayout>
      </c:layout>
      <c:doughnutChart>
        <c:varyColors val="1"/>
        <c:ser>
          <c:idx val="0"/>
          <c:order val="0"/>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735D-4D55-9618-7AACCA4265B6}"/>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735D-4D55-9618-7AACCA4265B6}"/>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735D-4D55-9618-7AACCA4265B6}"/>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735D-4D55-9618-7AACCA4265B6}"/>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Sheet1!$B$9:$B$12</c:f>
              <c:strCache>
                <c:ptCount val="4"/>
                <c:pt idx="0">
                  <c:v>转入正式会员</c:v>
                </c:pt>
                <c:pt idx="1">
                  <c:v>新增</c:v>
                </c:pt>
                <c:pt idx="2">
                  <c:v>正常</c:v>
                </c:pt>
                <c:pt idx="3">
                  <c:v>作废</c:v>
                </c:pt>
              </c:strCache>
            </c:strRef>
          </c:cat>
          <c:val>
            <c:numRef>
              <c:f>Sheet1!$C$9:$C$12</c:f>
              <c:numCache>
                <c:formatCode>General</c:formatCode>
                <c:ptCount val="4"/>
                <c:pt idx="0">
                  <c:v>23588</c:v>
                </c:pt>
                <c:pt idx="1">
                  <c:v>45581</c:v>
                </c:pt>
                <c:pt idx="2">
                  <c:v>4852</c:v>
                </c:pt>
                <c:pt idx="3">
                  <c:v>461</c:v>
                </c:pt>
              </c:numCache>
            </c:numRef>
          </c:val>
          <c:extLst>
            <c:ext xmlns:c16="http://schemas.microsoft.com/office/drawing/2014/chart" uri="{C3380CC4-5D6E-409C-BE32-E72D297353CC}">
              <c16:uniqueId val="{00000008-735D-4D55-9618-7AACCA4265B6}"/>
            </c:ext>
          </c:extLst>
        </c:ser>
        <c:dLbls>
          <c:showLegendKey val="0"/>
          <c:showVal val="0"/>
          <c:showCatName val="0"/>
          <c:showSerName val="0"/>
          <c:showPercent val="1"/>
          <c:showBubbleSize val="0"/>
          <c:showLeaderLines val="1"/>
        </c:dLbls>
        <c:firstSliceAng val="0"/>
        <c:holeSize val="70"/>
      </c:doughnut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zh-CN"/>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zh-CN" altLang="en-US"/>
              <a:t>家庭人数统计</a:t>
            </a:r>
            <a:endParaRPr lang="en-US" altLang="zh-CN"/>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zh-CN"/>
        </a:p>
      </c:txPr>
    </c:title>
    <c:autoTitleDeleted val="0"/>
    <c:view3D>
      <c:rotX val="35"/>
      <c:rotY val="20"/>
      <c:depthPercent val="70"/>
      <c:rAngAx val="0"/>
      <c:perspective val="6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c:ext xmlns:c16="http://schemas.microsoft.com/office/drawing/2014/chart" uri="{C3380CC4-5D6E-409C-BE32-E72D297353CC}">
                <c16:uniqueId val="{00000001-5E9D-4D8A-B524-9430B7A78E71}"/>
              </c:ext>
            </c:extLst>
          </c:dPt>
          <c:dPt>
            <c:idx val="1"/>
            <c:bubble3D val="0"/>
            <c:spPr>
              <a:solidFill>
                <a:schemeClr val="accent2"/>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c:ext xmlns:c16="http://schemas.microsoft.com/office/drawing/2014/chart" uri="{C3380CC4-5D6E-409C-BE32-E72D297353CC}">
                <c16:uniqueId val="{00000003-5E9D-4D8A-B524-9430B7A78E71}"/>
              </c:ext>
            </c:extLst>
          </c:dPt>
          <c:dPt>
            <c:idx val="2"/>
            <c:bubble3D val="0"/>
            <c:spPr>
              <a:solidFill>
                <a:schemeClr val="accent3"/>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c:ext xmlns:c16="http://schemas.microsoft.com/office/drawing/2014/chart" uri="{C3380CC4-5D6E-409C-BE32-E72D297353CC}">
                <c16:uniqueId val="{00000005-5E9D-4D8A-B524-9430B7A78E71}"/>
              </c:ext>
            </c:extLst>
          </c:dPt>
          <c:dPt>
            <c:idx val="3"/>
            <c:bubble3D val="0"/>
            <c:spPr>
              <a:solidFill>
                <a:schemeClr val="accent4"/>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c:ext xmlns:c16="http://schemas.microsoft.com/office/drawing/2014/chart" uri="{C3380CC4-5D6E-409C-BE32-E72D297353CC}">
                <c16:uniqueId val="{00000007-5E9D-4D8A-B524-9430B7A78E71}"/>
              </c:ext>
            </c:extLst>
          </c:dPt>
          <c:dPt>
            <c:idx val="4"/>
            <c:bubble3D val="0"/>
            <c:spPr>
              <a:solidFill>
                <a:schemeClr val="accent5"/>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c:ext xmlns:c16="http://schemas.microsoft.com/office/drawing/2014/chart" uri="{C3380CC4-5D6E-409C-BE32-E72D297353CC}">
                <c16:uniqueId val="{00000009-5E9D-4D8A-B524-9430B7A78E71}"/>
              </c:ext>
            </c:extLst>
          </c:dPt>
          <c:dPt>
            <c:idx val="5"/>
            <c:bubble3D val="0"/>
            <c:spPr>
              <a:solidFill>
                <a:schemeClr val="accent6"/>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c:ext xmlns:c16="http://schemas.microsoft.com/office/drawing/2014/chart" uri="{C3380CC4-5D6E-409C-BE32-E72D297353CC}">
                <c16:uniqueId val="{0000000B-5E9D-4D8A-B524-9430B7A78E71}"/>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val>
            <c:numRef>
              <c:f>Sheet1!$B$16:$B$21</c:f>
              <c:numCache>
                <c:formatCode>@</c:formatCode>
                <c:ptCount val="6"/>
                <c:pt idx="0">
                  <c:v>0</c:v>
                </c:pt>
                <c:pt idx="1">
                  <c:v>2</c:v>
                </c:pt>
                <c:pt idx="2">
                  <c:v>3</c:v>
                </c:pt>
                <c:pt idx="3">
                  <c:v>4</c:v>
                </c:pt>
                <c:pt idx="4">
                  <c:v>5</c:v>
                </c:pt>
                <c:pt idx="5">
                  <c:v>6</c:v>
                </c:pt>
              </c:numCache>
            </c:numRef>
          </c:val>
          <c:extLst>
            <c:ext xmlns:c16="http://schemas.microsoft.com/office/drawing/2014/chart" uri="{C3380CC4-5D6E-409C-BE32-E72D297353CC}">
              <c16:uniqueId val="{0000000C-5E9D-4D8A-B524-9430B7A78E71}"/>
            </c:ext>
          </c:extLst>
        </c:ser>
        <c:ser>
          <c:idx val="1"/>
          <c:order val="1"/>
          <c:dPt>
            <c:idx val="0"/>
            <c:bubble3D val="0"/>
            <c:spPr>
              <a:solidFill>
                <a:schemeClr val="accent1"/>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c:ext xmlns:c16="http://schemas.microsoft.com/office/drawing/2014/chart" uri="{C3380CC4-5D6E-409C-BE32-E72D297353CC}">
                <c16:uniqueId val="{0000000E-5E9D-4D8A-B524-9430B7A78E71}"/>
              </c:ext>
            </c:extLst>
          </c:dPt>
          <c:dPt>
            <c:idx val="1"/>
            <c:bubble3D val="0"/>
            <c:spPr>
              <a:solidFill>
                <a:schemeClr val="accent2"/>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c:ext xmlns:c16="http://schemas.microsoft.com/office/drawing/2014/chart" uri="{C3380CC4-5D6E-409C-BE32-E72D297353CC}">
                <c16:uniqueId val="{00000010-5E9D-4D8A-B524-9430B7A78E71}"/>
              </c:ext>
            </c:extLst>
          </c:dPt>
          <c:dPt>
            <c:idx val="2"/>
            <c:bubble3D val="0"/>
            <c:spPr>
              <a:solidFill>
                <a:schemeClr val="accent3"/>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c:ext xmlns:c16="http://schemas.microsoft.com/office/drawing/2014/chart" uri="{C3380CC4-5D6E-409C-BE32-E72D297353CC}">
                <c16:uniqueId val="{00000012-5E9D-4D8A-B524-9430B7A78E71}"/>
              </c:ext>
            </c:extLst>
          </c:dPt>
          <c:dPt>
            <c:idx val="3"/>
            <c:bubble3D val="0"/>
            <c:spPr>
              <a:solidFill>
                <a:schemeClr val="accent4"/>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c:ext xmlns:c16="http://schemas.microsoft.com/office/drawing/2014/chart" uri="{C3380CC4-5D6E-409C-BE32-E72D297353CC}">
                <c16:uniqueId val="{00000014-5E9D-4D8A-B524-9430B7A78E71}"/>
              </c:ext>
            </c:extLst>
          </c:dPt>
          <c:dPt>
            <c:idx val="4"/>
            <c:bubble3D val="0"/>
            <c:spPr>
              <a:solidFill>
                <a:schemeClr val="accent5"/>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c:ext xmlns:c16="http://schemas.microsoft.com/office/drawing/2014/chart" uri="{C3380CC4-5D6E-409C-BE32-E72D297353CC}">
                <c16:uniqueId val="{00000016-5E9D-4D8A-B524-9430B7A78E71}"/>
              </c:ext>
            </c:extLst>
          </c:dPt>
          <c:dPt>
            <c:idx val="5"/>
            <c:bubble3D val="0"/>
            <c:spPr>
              <a:solidFill>
                <a:schemeClr val="accent6"/>
              </a:solidFill>
              <a:ln>
                <a:noFill/>
              </a:ln>
              <a:effectLst>
                <a:outerShdw blurRad="88900" sx="102000" sy="102000" algn="ctr" rotWithShape="0">
                  <a:prstClr val="black">
                    <a:alpha val="20000"/>
                  </a:prstClr>
                </a:outerShdw>
              </a:effectLst>
              <a:scene3d>
                <a:camera prst="orthographicFront"/>
                <a:lightRig rig="threePt" dir="t"/>
              </a:scene3d>
              <a:sp3d prstMaterial="matte"/>
            </c:spPr>
            <c:extLst>
              <c:ext xmlns:c16="http://schemas.microsoft.com/office/drawing/2014/chart" uri="{C3380CC4-5D6E-409C-BE32-E72D297353CC}">
                <c16:uniqueId val="{00000018-5E9D-4D8A-B524-9430B7A78E71}"/>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val>
            <c:numRef>
              <c:f>Sheet1!$C$16:$C$21</c:f>
              <c:numCache>
                <c:formatCode>General</c:formatCode>
                <c:ptCount val="6"/>
                <c:pt idx="0">
                  <c:v>10111</c:v>
                </c:pt>
                <c:pt idx="1">
                  <c:v>33130</c:v>
                </c:pt>
                <c:pt idx="2">
                  <c:v>26306</c:v>
                </c:pt>
                <c:pt idx="3">
                  <c:v>3452</c:v>
                </c:pt>
                <c:pt idx="4">
                  <c:v>1414</c:v>
                </c:pt>
                <c:pt idx="5">
                  <c:v>69</c:v>
                </c:pt>
              </c:numCache>
            </c:numRef>
          </c:val>
          <c:extLst>
            <c:ext xmlns:c16="http://schemas.microsoft.com/office/drawing/2014/chart" uri="{C3380CC4-5D6E-409C-BE32-E72D297353CC}">
              <c16:uniqueId val="{00000019-5E9D-4D8A-B524-9430B7A78E71}"/>
            </c:ext>
          </c:extLst>
        </c:ser>
        <c:dLbls>
          <c:dLblPos val="inEnd"/>
          <c:showLegendKey val="0"/>
          <c:showVal val="0"/>
          <c:showCatName val="0"/>
          <c:showSerName val="0"/>
          <c:showPercent val="1"/>
          <c:showBubbleSize val="0"/>
          <c:showLeaderLines val="1"/>
        </c:dLbls>
      </c:pie3D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rtl="0">
            <a:defRPr sz="900" b="0" i="0" u="none" strike="noStrike" kern="1200" baseline="0">
              <a:solidFill>
                <a:schemeClr val="dk1">
                  <a:lumMod val="65000"/>
                  <a:lumOff val="35000"/>
                </a:schemeClr>
              </a:solidFill>
              <a:latin typeface="+mn-lt"/>
              <a:ea typeface="+mn-ea"/>
              <a:cs typeface="+mn-cs"/>
            </a:defRPr>
          </a:pPr>
          <a:endParaRPr lang="zh-CN"/>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zh-CN" altLang="en-US" b="1">
                <a:latin typeface="黑体" panose="02010609060101010101" pitchFamily="49" charset="-122"/>
                <a:ea typeface="黑体" panose="02010609060101010101" pitchFamily="49" charset="-122"/>
              </a:rPr>
              <a:t>工资收入统计</a:t>
            </a:r>
            <a:endParaRPr lang="zh-CN" b="1">
              <a:latin typeface="黑体" panose="02010609060101010101" pitchFamily="49" charset="-122"/>
              <a:ea typeface="黑体" panose="02010609060101010101" pitchFamily="49" charset="-122"/>
            </a:endParaRPr>
          </a:p>
        </c:rich>
      </c:tx>
      <c:layout>
        <c:manualLayout>
          <c:xMode val="edge"/>
          <c:yMode val="edge"/>
          <c:x val="0.41111111111111104"/>
          <c:y val="3.7037037037037035E-2"/>
        </c:manualLayout>
      </c:layout>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zh-CN"/>
        </a:p>
      </c:txPr>
    </c:title>
    <c:autoTitleDeleted val="0"/>
    <c:plotArea>
      <c:layout/>
      <c:barChart>
        <c:barDir val="col"/>
        <c:grouping val="clustered"/>
        <c:varyColors val="0"/>
        <c:ser>
          <c:idx val="0"/>
          <c:order val="0"/>
          <c:spPr>
            <a:solidFill>
              <a:schemeClr val="accent1">
                <a:alpha val="70000"/>
              </a:schemeClr>
            </a:solidFill>
            <a:ln>
              <a:noFill/>
            </a:ln>
            <a:effectLst/>
          </c:spPr>
          <c:invertIfNegative val="0"/>
          <c:cat>
            <c:strRef>
              <c:f>Sheet1!$B$24:$B$42</c:f>
              <c:strCache>
                <c:ptCount val="19"/>
                <c:pt idx="0">
                  <c:v>3k-4k</c:v>
                </c:pt>
                <c:pt idx="1">
                  <c:v>4k-5k</c:v>
                </c:pt>
                <c:pt idx="2">
                  <c:v>5k-6k</c:v>
                </c:pt>
                <c:pt idx="3">
                  <c:v>6k-7k</c:v>
                </c:pt>
                <c:pt idx="4">
                  <c:v>7k-8k</c:v>
                </c:pt>
                <c:pt idx="5">
                  <c:v>8k-9k</c:v>
                </c:pt>
                <c:pt idx="6">
                  <c:v>9k-10k</c:v>
                </c:pt>
                <c:pt idx="7">
                  <c:v>10k-11k</c:v>
                </c:pt>
                <c:pt idx="8">
                  <c:v>11k-12k</c:v>
                </c:pt>
                <c:pt idx="9">
                  <c:v>12k-13k</c:v>
                </c:pt>
                <c:pt idx="10">
                  <c:v>13k-14k</c:v>
                </c:pt>
                <c:pt idx="11">
                  <c:v>14k-15k</c:v>
                </c:pt>
                <c:pt idx="12">
                  <c:v>15k-18k</c:v>
                </c:pt>
                <c:pt idx="13">
                  <c:v>18k-20k</c:v>
                </c:pt>
                <c:pt idx="14">
                  <c:v>20k-25k</c:v>
                </c:pt>
                <c:pt idx="15">
                  <c:v>25k-30k</c:v>
                </c:pt>
                <c:pt idx="16">
                  <c:v>30k-40k</c:v>
                </c:pt>
                <c:pt idx="17">
                  <c:v>40k-50k</c:v>
                </c:pt>
                <c:pt idx="18">
                  <c:v>50k以上</c:v>
                </c:pt>
              </c:strCache>
            </c:strRef>
          </c:cat>
          <c:val>
            <c:numRef>
              <c:f>Sheet1!$C$24:$C$42</c:f>
              <c:numCache>
                <c:formatCode>General</c:formatCode>
                <c:ptCount val="19"/>
                <c:pt idx="0">
                  <c:v>2225</c:v>
                </c:pt>
                <c:pt idx="1">
                  <c:v>5250</c:v>
                </c:pt>
                <c:pt idx="2">
                  <c:v>6454</c:v>
                </c:pt>
                <c:pt idx="3">
                  <c:v>7709</c:v>
                </c:pt>
                <c:pt idx="4">
                  <c:v>8487</c:v>
                </c:pt>
                <c:pt idx="5">
                  <c:v>8586</c:v>
                </c:pt>
                <c:pt idx="6">
                  <c:v>7787</c:v>
                </c:pt>
                <c:pt idx="7">
                  <c:v>6484</c:v>
                </c:pt>
                <c:pt idx="8">
                  <c:v>5266</c:v>
                </c:pt>
                <c:pt idx="9">
                  <c:v>4263</c:v>
                </c:pt>
                <c:pt idx="10">
                  <c:v>3285</c:v>
                </c:pt>
                <c:pt idx="11">
                  <c:v>2577</c:v>
                </c:pt>
                <c:pt idx="12">
                  <c:v>4395</c:v>
                </c:pt>
                <c:pt idx="13">
                  <c:v>1089</c:v>
                </c:pt>
                <c:pt idx="14">
                  <c:v>591</c:v>
                </c:pt>
                <c:pt idx="15">
                  <c:v>19</c:v>
                </c:pt>
                <c:pt idx="16">
                  <c:v>11</c:v>
                </c:pt>
                <c:pt idx="17">
                  <c:v>2</c:v>
                </c:pt>
                <c:pt idx="18">
                  <c:v>2</c:v>
                </c:pt>
              </c:numCache>
            </c:numRef>
          </c:val>
          <c:extLst>
            <c:ext xmlns:c16="http://schemas.microsoft.com/office/drawing/2014/chart" uri="{C3380CC4-5D6E-409C-BE32-E72D297353CC}">
              <c16:uniqueId val="{00000000-42BE-439E-96E2-3119E2EA1EFA}"/>
            </c:ext>
          </c:extLst>
        </c:ser>
        <c:dLbls>
          <c:showLegendKey val="0"/>
          <c:showVal val="0"/>
          <c:showCatName val="0"/>
          <c:showSerName val="0"/>
          <c:showPercent val="0"/>
          <c:showBubbleSize val="0"/>
        </c:dLbls>
        <c:gapWidth val="80"/>
        <c:overlap val="25"/>
        <c:axId val="503203520"/>
        <c:axId val="503203848"/>
      </c:barChart>
      <c:catAx>
        <c:axId val="503203520"/>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zh-CN"/>
          </a:p>
        </c:txPr>
        <c:crossAx val="503203848"/>
        <c:crosses val="autoZero"/>
        <c:auto val="1"/>
        <c:lblAlgn val="ctr"/>
        <c:lblOffset val="100"/>
        <c:noMultiLvlLbl val="0"/>
      </c:catAx>
      <c:valAx>
        <c:axId val="503203848"/>
        <c:scaling>
          <c:orientation val="minMax"/>
        </c:scaling>
        <c:delete val="0"/>
        <c:axPos val="l"/>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zh-CN"/>
          </a:p>
        </c:txPr>
        <c:crossAx val="503203520"/>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zh-CN"/>
              <a:t>潜客年龄段分布</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Sheet1!$B$47:$B$53</c:f>
              <c:strCache>
                <c:ptCount val="7"/>
                <c:pt idx="0">
                  <c:v>00后</c:v>
                </c:pt>
                <c:pt idx="1">
                  <c:v>90后</c:v>
                </c:pt>
                <c:pt idx="2">
                  <c:v>80后</c:v>
                </c:pt>
                <c:pt idx="3">
                  <c:v>70后</c:v>
                </c:pt>
                <c:pt idx="4">
                  <c:v>60后</c:v>
                </c:pt>
                <c:pt idx="5">
                  <c:v>50后</c:v>
                </c:pt>
                <c:pt idx="6">
                  <c:v>40后</c:v>
                </c:pt>
              </c:strCache>
            </c:strRef>
          </c:cat>
          <c:val>
            <c:numRef>
              <c:f>Sheet1!$C$47:$C$53</c:f>
              <c:numCache>
                <c:formatCode>General</c:formatCode>
                <c:ptCount val="7"/>
                <c:pt idx="0">
                  <c:v>4933</c:v>
                </c:pt>
                <c:pt idx="1">
                  <c:v>13174</c:v>
                </c:pt>
                <c:pt idx="2">
                  <c:v>24973</c:v>
                </c:pt>
                <c:pt idx="3">
                  <c:v>18692</c:v>
                </c:pt>
                <c:pt idx="4">
                  <c:v>8982</c:v>
                </c:pt>
                <c:pt idx="5">
                  <c:v>3389</c:v>
                </c:pt>
                <c:pt idx="6">
                  <c:v>339</c:v>
                </c:pt>
              </c:numCache>
            </c:numRef>
          </c:val>
          <c:extLst>
            <c:ext xmlns:c16="http://schemas.microsoft.com/office/drawing/2014/chart" uri="{C3380CC4-5D6E-409C-BE32-E72D297353CC}">
              <c16:uniqueId val="{00000000-3774-475A-BB1D-C298E07C41B3}"/>
            </c:ext>
          </c:extLst>
        </c:ser>
        <c:dLbls>
          <c:showLegendKey val="0"/>
          <c:showVal val="0"/>
          <c:showCatName val="0"/>
          <c:showSerName val="0"/>
          <c:showPercent val="0"/>
          <c:showBubbleSize val="0"/>
        </c:dLbls>
        <c:gapWidth val="219"/>
        <c:overlap val="-27"/>
        <c:axId val="541138576"/>
        <c:axId val="541145464"/>
      </c:barChart>
      <c:lineChart>
        <c:grouping val="standard"/>
        <c:varyColors val="0"/>
        <c:ser>
          <c:idx val="1"/>
          <c:order val="1"/>
          <c:spPr>
            <a:ln w="34925" cap="rnd">
              <a:solidFill>
                <a:schemeClr val="accent2"/>
              </a:solidFill>
              <a:round/>
            </a:ln>
            <a:effectLst>
              <a:outerShdw blurRad="57150" dist="19050" dir="5400000" algn="ctr" rotWithShape="0">
                <a:srgbClr val="000000">
                  <a:alpha val="63000"/>
                </a:srgbClr>
              </a:outerShdw>
            </a:effectLst>
          </c:spPr>
          <c:marker>
            <c:symbol val="none"/>
          </c:marker>
          <c:cat>
            <c:strRef>
              <c:f>Sheet1!$B$47:$B$53</c:f>
              <c:strCache>
                <c:ptCount val="7"/>
                <c:pt idx="0">
                  <c:v>00后</c:v>
                </c:pt>
                <c:pt idx="1">
                  <c:v>90后</c:v>
                </c:pt>
                <c:pt idx="2">
                  <c:v>80后</c:v>
                </c:pt>
                <c:pt idx="3">
                  <c:v>70后</c:v>
                </c:pt>
                <c:pt idx="4">
                  <c:v>60后</c:v>
                </c:pt>
                <c:pt idx="5">
                  <c:v>50后</c:v>
                </c:pt>
                <c:pt idx="6">
                  <c:v>40后</c:v>
                </c:pt>
              </c:strCache>
            </c:strRef>
          </c:cat>
          <c:val>
            <c:numRef>
              <c:f>Sheet1!$D$47:$D$53</c:f>
              <c:numCache>
                <c:formatCode>General</c:formatCode>
                <c:ptCount val="7"/>
                <c:pt idx="0">
                  <c:v>4933</c:v>
                </c:pt>
                <c:pt idx="1">
                  <c:v>13174</c:v>
                </c:pt>
                <c:pt idx="2">
                  <c:v>24973</c:v>
                </c:pt>
                <c:pt idx="3">
                  <c:v>18692</c:v>
                </c:pt>
                <c:pt idx="4">
                  <c:v>8982</c:v>
                </c:pt>
                <c:pt idx="5">
                  <c:v>3389</c:v>
                </c:pt>
                <c:pt idx="6">
                  <c:v>339</c:v>
                </c:pt>
              </c:numCache>
            </c:numRef>
          </c:val>
          <c:smooth val="0"/>
          <c:extLst>
            <c:ext xmlns:c16="http://schemas.microsoft.com/office/drawing/2014/chart" uri="{C3380CC4-5D6E-409C-BE32-E72D297353CC}">
              <c16:uniqueId val="{00000001-3774-475A-BB1D-C298E07C41B3}"/>
            </c:ext>
          </c:extLst>
        </c:ser>
        <c:dLbls>
          <c:showLegendKey val="0"/>
          <c:showVal val="0"/>
          <c:showCatName val="0"/>
          <c:showSerName val="0"/>
          <c:showPercent val="0"/>
          <c:showBubbleSize val="0"/>
        </c:dLbls>
        <c:marker val="1"/>
        <c:smooth val="0"/>
        <c:axId val="541138576"/>
        <c:axId val="541145464"/>
      </c:lineChart>
      <c:catAx>
        <c:axId val="54113857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1145464"/>
        <c:crosses val="autoZero"/>
        <c:auto val="1"/>
        <c:lblAlgn val="ctr"/>
        <c:lblOffset val="100"/>
        <c:noMultiLvlLbl val="0"/>
      </c:catAx>
      <c:valAx>
        <c:axId val="5411454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11385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zh-CN" altLang="en-US"/>
              <a:t>会员性别占比</a:t>
            </a:r>
            <a:endParaRPr lang="zh-CN"/>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zh-CN"/>
        </a:p>
      </c:txPr>
    </c:title>
    <c:autoTitleDeleted val="0"/>
    <c:plotArea>
      <c:layout>
        <c:manualLayout>
          <c:layoutTarget val="inner"/>
          <c:xMode val="edge"/>
          <c:yMode val="edge"/>
          <c:x val="0.28247922134733161"/>
          <c:y val="0.17499270924467777"/>
          <c:w val="0.466078302712161"/>
          <c:h val="0.74167395742198894"/>
        </c:manualLayout>
      </c:layout>
      <c:doughnutChart>
        <c:varyColors val="1"/>
        <c:ser>
          <c:idx val="0"/>
          <c:order val="0"/>
          <c:dPt>
            <c:idx val="0"/>
            <c:bubble3D val="0"/>
            <c:spPr>
              <a:pattFill prst="ltUpDiag">
                <a:fgClr>
                  <a:schemeClr val="accent1"/>
                </a:fgClr>
                <a:bgClr>
                  <a:schemeClr val="accent1">
                    <a:lumMod val="20000"/>
                    <a:lumOff val="80000"/>
                  </a:schemeClr>
                </a:bgClr>
              </a:pattFill>
              <a:ln w="19050">
                <a:solidFill>
                  <a:schemeClr val="lt1"/>
                </a:solidFill>
              </a:ln>
              <a:effectLst>
                <a:innerShdw blurRad="114300">
                  <a:schemeClr val="accent1"/>
                </a:innerShdw>
              </a:effectLst>
            </c:spPr>
            <c:extLst>
              <c:ext xmlns:c16="http://schemas.microsoft.com/office/drawing/2014/chart" uri="{C3380CC4-5D6E-409C-BE32-E72D297353CC}">
                <c16:uniqueId val="{00000001-EE78-4835-A2EB-372FBA356B78}"/>
              </c:ext>
            </c:extLst>
          </c:dPt>
          <c:dPt>
            <c:idx val="1"/>
            <c:bubble3D val="0"/>
            <c:spPr>
              <a:pattFill prst="ltUpDiag">
                <a:fgClr>
                  <a:schemeClr val="accent2"/>
                </a:fgClr>
                <a:bgClr>
                  <a:schemeClr val="accent2">
                    <a:lumMod val="20000"/>
                    <a:lumOff val="80000"/>
                  </a:schemeClr>
                </a:bgClr>
              </a:pattFill>
              <a:ln w="19050">
                <a:solidFill>
                  <a:schemeClr val="lt1"/>
                </a:solidFill>
              </a:ln>
              <a:effectLst>
                <a:innerShdw blurRad="114300">
                  <a:schemeClr val="accent2"/>
                </a:innerShdw>
              </a:effectLst>
            </c:spPr>
            <c:extLst>
              <c:ext xmlns:c16="http://schemas.microsoft.com/office/drawing/2014/chart" uri="{C3380CC4-5D6E-409C-BE32-E72D297353CC}">
                <c16:uniqueId val="{00000003-EE78-4835-A2EB-372FBA356B78}"/>
              </c:ext>
            </c:extLst>
          </c:dPt>
          <c:dLbls>
            <c:dLbl>
              <c:idx val="0"/>
              <c:layout>
                <c:manualLayout>
                  <c:x val="3.3333333333333333E-2"/>
                  <c:y val="-2.3148148148148147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EE78-4835-A2EB-372FBA356B78}"/>
                </c:ext>
              </c:extLst>
            </c:dLbl>
            <c:dLbl>
              <c:idx val="1"/>
              <c:layout>
                <c:manualLayout>
                  <c:x val="-2.5000000000000001E-2"/>
                  <c:y val="0"/>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EE78-4835-A2EB-372FBA356B78}"/>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zh-CN"/>
              </a:p>
            </c:txPr>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Sheet2!$B$2:$B$3</c:f>
              <c:strCache>
                <c:ptCount val="2"/>
                <c:pt idx="0">
                  <c:v>男</c:v>
                </c:pt>
                <c:pt idx="1">
                  <c:v>女</c:v>
                </c:pt>
              </c:strCache>
            </c:strRef>
          </c:cat>
          <c:val>
            <c:numRef>
              <c:f>Sheet2!$C$2:$C$3</c:f>
              <c:numCache>
                <c:formatCode>General</c:formatCode>
                <c:ptCount val="2"/>
                <c:pt idx="0">
                  <c:v>10523</c:v>
                </c:pt>
                <c:pt idx="1">
                  <c:v>11501</c:v>
                </c:pt>
              </c:numCache>
            </c:numRef>
          </c:val>
          <c:extLst>
            <c:ext xmlns:c16="http://schemas.microsoft.com/office/drawing/2014/chart" uri="{C3380CC4-5D6E-409C-BE32-E72D297353CC}">
              <c16:uniqueId val="{00000004-EE78-4835-A2EB-372FBA356B78}"/>
            </c:ext>
          </c:extLst>
        </c:ser>
        <c:dLbls>
          <c:showLegendKey val="0"/>
          <c:showVal val="0"/>
          <c:showCatName val="0"/>
          <c:showSerName val="0"/>
          <c:showPercent val="0"/>
          <c:showBubbleSize val="0"/>
          <c:showLeaderLines val="0"/>
        </c:dLbls>
        <c:firstSliceAng val="0"/>
        <c:holeSize val="70"/>
      </c:doughnut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zh-CN" altLang="en-US"/>
              <a:t>各卡种占比</a:t>
            </a:r>
            <a:endParaRPr lang="zh-CN"/>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zh-CN"/>
        </a:p>
      </c:txPr>
    </c:title>
    <c:autoTitleDeleted val="0"/>
    <c:plotArea>
      <c:layout/>
      <c:ofPieChart>
        <c:ofPieType val="pie"/>
        <c:varyColors val="1"/>
        <c:ser>
          <c:idx val="0"/>
          <c:order val="0"/>
          <c:explosion val="1"/>
          <c:dPt>
            <c:idx val="0"/>
            <c:bubble3D val="0"/>
            <c:explosion val="0"/>
            <c:spPr>
              <a:pattFill prst="ltUpDiag">
                <a:fgClr>
                  <a:schemeClr val="accent6"/>
                </a:fgClr>
                <a:bgClr>
                  <a:schemeClr val="accent6">
                    <a:lumMod val="20000"/>
                    <a:lumOff val="80000"/>
                  </a:schemeClr>
                </a:bgClr>
              </a:pattFill>
              <a:ln w="19050">
                <a:solidFill>
                  <a:schemeClr val="lt1"/>
                </a:solidFill>
              </a:ln>
              <a:effectLst>
                <a:innerShdw blurRad="114300">
                  <a:schemeClr val="accent6"/>
                </a:innerShdw>
              </a:effectLst>
            </c:spPr>
            <c:extLst>
              <c:ext xmlns:c16="http://schemas.microsoft.com/office/drawing/2014/chart" uri="{C3380CC4-5D6E-409C-BE32-E72D297353CC}">
                <c16:uniqueId val="{00000001-79C3-4348-B9BD-4B5BFEC7C3BA}"/>
              </c:ext>
            </c:extLst>
          </c:dPt>
          <c:dPt>
            <c:idx val="1"/>
            <c:bubble3D val="0"/>
            <c:explosion val="24"/>
            <c:spPr>
              <a:pattFill prst="ltUpDiag">
                <a:fgClr>
                  <a:schemeClr val="accent5"/>
                </a:fgClr>
                <a:bgClr>
                  <a:schemeClr val="accent5">
                    <a:lumMod val="20000"/>
                    <a:lumOff val="80000"/>
                  </a:schemeClr>
                </a:bgClr>
              </a:pattFill>
              <a:ln w="19050">
                <a:solidFill>
                  <a:schemeClr val="lt1"/>
                </a:solidFill>
              </a:ln>
              <a:effectLst>
                <a:innerShdw blurRad="114300">
                  <a:schemeClr val="accent5"/>
                </a:innerShdw>
              </a:effectLst>
            </c:spPr>
            <c:extLst>
              <c:ext xmlns:c16="http://schemas.microsoft.com/office/drawing/2014/chart" uri="{C3380CC4-5D6E-409C-BE32-E72D297353CC}">
                <c16:uniqueId val="{00000003-79C3-4348-B9BD-4B5BFEC7C3BA}"/>
              </c:ext>
            </c:extLst>
          </c:dPt>
          <c:dPt>
            <c:idx val="2"/>
            <c:bubble3D val="0"/>
            <c:explosion val="0"/>
            <c:spPr>
              <a:pattFill prst="ltUpDiag">
                <a:fgClr>
                  <a:schemeClr val="accent4"/>
                </a:fgClr>
                <a:bgClr>
                  <a:schemeClr val="accent4">
                    <a:lumMod val="20000"/>
                    <a:lumOff val="80000"/>
                  </a:schemeClr>
                </a:bgClr>
              </a:pattFill>
              <a:ln w="19050">
                <a:solidFill>
                  <a:schemeClr val="lt1"/>
                </a:solidFill>
              </a:ln>
              <a:effectLst>
                <a:innerShdw blurRad="114300">
                  <a:schemeClr val="accent4"/>
                </a:innerShdw>
              </a:effectLst>
            </c:spPr>
            <c:extLst>
              <c:ext xmlns:c16="http://schemas.microsoft.com/office/drawing/2014/chart" uri="{C3380CC4-5D6E-409C-BE32-E72D297353CC}">
                <c16:uniqueId val="{00000005-79C3-4348-B9BD-4B5BFEC7C3BA}"/>
              </c:ext>
            </c:extLst>
          </c:dPt>
          <c:dPt>
            <c:idx val="3"/>
            <c:bubble3D val="0"/>
            <c:explosion val="0"/>
            <c:spPr>
              <a:pattFill prst="ltUpDiag">
                <a:fgClr>
                  <a:schemeClr val="accent6">
                    <a:lumMod val="60000"/>
                  </a:schemeClr>
                </a:fgClr>
                <a:bgClr>
                  <a:schemeClr val="accent6">
                    <a:lumMod val="60000"/>
                    <a:lumMod val="20000"/>
                    <a:lumOff val="80000"/>
                  </a:schemeClr>
                </a:bgClr>
              </a:pattFill>
              <a:ln w="19050">
                <a:solidFill>
                  <a:schemeClr val="lt1"/>
                </a:solidFill>
              </a:ln>
              <a:effectLst>
                <a:innerShdw blurRad="114300">
                  <a:schemeClr val="accent6">
                    <a:lumMod val="60000"/>
                  </a:schemeClr>
                </a:innerShdw>
              </a:effectLst>
            </c:spPr>
            <c:extLst>
              <c:ext xmlns:c16="http://schemas.microsoft.com/office/drawing/2014/chart" uri="{C3380CC4-5D6E-409C-BE32-E72D297353CC}">
                <c16:uniqueId val="{00000007-79C3-4348-B9BD-4B5BFEC7C3BA}"/>
              </c:ext>
            </c:extLst>
          </c:dPt>
          <c:dPt>
            <c:idx val="4"/>
            <c:bubble3D val="0"/>
            <c:spPr>
              <a:pattFill prst="ltUpDiag">
                <a:fgClr>
                  <a:schemeClr val="accent5">
                    <a:lumMod val="60000"/>
                  </a:schemeClr>
                </a:fgClr>
                <a:bgClr>
                  <a:schemeClr val="accent5">
                    <a:lumMod val="60000"/>
                    <a:lumMod val="20000"/>
                    <a:lumOff val="80000"/>
                  </a:schemeClr>
                </a:bgClr>
              </a:pattFill>
              <a:ln w="19050">
                <a:solidFill>
                  <a:schemeClr val="lt1"/>
                </a:solidFill>
              </a:ln>
              <a:effectLst>
                <a:innerShdw blurRad="114300">
                  <a:schemeClr val="accent5">
                    <a:lumMod val="60000"/>
                  </a:schemeClr>
                </a:innerShdw>
              </a:effectLst>
            </c:spPr>
            <c:extLst>
              <c:ext xmlns:c16="http://schemas.microsoft.com/office/drawing/2014/chart" uri="{C3380CC4-5D6E-409C-BE32-E72D297353CC}">
                <c16:uniqueId val="{00000009-79C3-4348-B9BD-4B5BFEC7C3BA}"/>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bestFit"/>
            <c:showLegendKey val="0"/>
            <c:showVal val="1"/>
            <c:showCatName val="0"/>
            <c:showSerName val="0"/>
            <c:showPercent val="0"/>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Sheet2!$B$8:$B$11</c:f>
              <c:strCache>
                <c:ptCount val="4"/>
                <c:pt idx="0">
                  <c:v>普通卡</c:v>
                </c:pt>
                <c:pt idx="1">
                  <c:v>VIP卡</c:v>
                </c:pt>
                <c:pt idx="2">
                  <c:v>紫卡</c:v>
                </c:pt>
                <c:pt idx="3">
                  <c:v>副卡</c:v>
                </c:pt>
              </c:strCache>
            </c:strRef>
          </c:cat>
          <c:val>
            <c:numRef>
              <c:f>Sheet2!$C$8:$C$11</c:f>
              <c:numCache>
                <c:formatCode>General</c:formatCode>
                <c:ptCount val="4"/>
                <c:pt idx="0">
                  <c:v>21967</c:v>
                </c:pt>
                <c:pt idx="1">
                  <c:v>55</c:v>
                </c:pt>
                <c:pt idx="2">
                  <c:v>1</c:v>
                </c:pt>
                <c:pt idx="3">
                  <c:v>1</c:v>
                </c:pt>
              </c:numCache>
            </c:numRef>
          </c:val>
          <c:extLst>
            <c:ext xmlns:c16="http://schemas.microsoft.com/office/drawing/2014/chart" uri="{C3380CC4-5D6E-409C-BE32-E72D297353CC}">
              <c16:uniqueId val="{0000000A-79C3-4348-B9BD-4B5BFEC7C3BA}"/>
            </c:ext>
          </c:extLst>
        </c:ser>
        <c:dLbls>
          <c:dLblPos val="bestFit"/>
          <c:showLegendKey val="0"/>
          <c:showVal val="1"/>
          <c:showCatName val="0"/>
          <c:showSerName val="0"/>
          <c:showPercent val="0"/>
          <c:showBubbleSize val="0"/>
          <c:showLeaderLines val="1"/>
        </c:dLbls>
        <c:gapWidth val="100"/>
        <c:splitType val="percent"/>
        <c:splitPos val="10"/>
        <c:secondPieSize val="75"/>
        <c:serLines>
          <c:spPr>
            <a:ln w="9525">
              <a:solidFill>
                <a:schemeClr val="tx1">
                  <a:lumMod val="35000"/>
                  <a:lumOff val="65000"/>
                </a:schemeClr>
              </a:solidFill>
              <a:round/>
            </a:ln>
            <a:effectLst/>
          </c:spPr>
        </c:serLines>
      </c:of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Sheet2!$B$14:$B$17</cx:f>
        <cx:lvl ptCount="4">
          <cx:pt idx="0">媒体广告</cx:pt>
          <cx:pt idx="1">活动推广</cx:pt>
          <cx:pt idx="2">店面销售</cx:pt>
          <cx:pt idx="3">转介绍</cx:pt>
        </cx:lvl>
      </cx:strDim>
      <cx:numDim type="size">
        <cx:f>Sheet2!$C$14:$C$17</cx:f>
        <cx:lvl ptCount="4" formatCode="G/通用格式">
          <cx:pt idx="0">1590</cx:pt>
          <cx:pt idx="1">7823</cx:pt>
          <cx:pt idx="2">5950</cx:pt>
          <cx:pt idx="3">6661</cx:pt>
        </cx:lvl>
      </cx:numDim>
    </cx:data>
  </cx:chartData>
  <cx:chart>
    <cx:title pos="t" align="ctr" overlay="0">
      <cx:tx>
        <cx:rich>
          <a:bodyPr spcFirstLastPara="1" vertOverflow="ellipsis" wrap="square" lIns="0" tIns="0" rIns="0" bIns="0" anchor="ctr" anchorCtr="1"/>
          <a:lstStyle/>
          <a:p>
            <a:pPr algn="ctr">
              <a:defRPr/>
            </a:pPr>
            <a:r>
              <a:rPr lang="zh-CN" altLang="en-US" sz="1600" b="1"/>
              <a:t>会员来源占比</a:t>
            </a:r>
            <a:endParaRPr lang="zh-CN" sz="1600" b="1"/>
          </a:p>
        </cx:rich>
      </cx:tx>
    </cx:title>
    <cx:plotArea>
      <cx:plotAreaRegion>
        <cx:series layoutId="sunburst" uniqueId="{40D94A73-C599-4FEF-A6A1-EC628E6224E4}">
          <cx:dataLabels pos="ctr">
            <cx:visibility seriesName="0" categoryName="1" value="0"/>
          </cx:dataLabels>
          <cx:dataId val="0"/>
        </cx:series>
      </cx:plotAreaRegion>
    </cx:plotArea>
  </cx:chart>
  <cx:clrMapOvr bg1="lt1" tx1="dk1" bg2="lt2" tx2="dk2" accent1="accent1" accent2="accent2" accent3="accent3" accent4="accent4" accent5="accent5" accent6="accent6" hlink="hlink" folHlink="folHlink"/>
</cx: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zh-CN"/>
              <a:t>会员办卡时年龄分布</a:t>
            </a:r>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zh-CN"/>
        </a:p>
      </c:txPr>
    </c:title>
    <c:autoTitleDeleted val="0"/>
    <c:plotArea>
      <c:layout/>
      <c:barChart>
        <c:barDir val="col"/>
        <c:grouping val="clustered"/>
        <c:varyColors val="0"/>
        <c:ser>
          <c:idx val="0"/>
          <c:order val="0"/>
          <c:spPr>
            <a:pattFill prst="narHorz">
              <a:fgClr>
                <a:schemeClr val="accent1"/>
              </a:fgClr>
              <a:bgClr>
                <a:schemeClr val="accent1">
                  <a:lumMod val="20000"/>
                  <a:lumOff val="80000"/>
                </a:schemeClr>
              </a:bgClr>
            </a:pattFill>
            <a:ln>
              <a:noFill/>
            </a:ln>
            <a:effectLst>
              <a:innerShdw blurRad="114300">
                <a:schemeClr val="accent1"/>
              </a:innerShdw>
            </a:effectLst>
          </c:spPr>
          <c:invertIfNegative val="0"/>
          <c:cat>
            <c:strRef>
              <c:f>Sheet2!$B$36:$B$47</c:f>
              <c:strCache>
                <c:ptCount val="12"/>
                <c:pt idx="0">
                  <c:v>15~20周岁</c:v>
                </c:pt>
                <c:pt idx="1">
                  <c:v>20~25周岁</c:v>
                </c:pt>
                <c:pt idx="2">
                  <c:v>25~30周岁</c:v>
                </c:pt>
                <c:pt idx="3">
                  <c:v>30~35周岁</c:v>
                </c:pt>
                <c:pt idx="4">
                  <c:v>35~40周岁</c:v>
                </c:pt>
                <c:pt idx="5">
                  <c:v>40~45周岁</c:v>
                </c:pt>
                <c:pt idx="6">
                  <c:v>45~50周岁</c:v>
                </c:pt>
                <c:pt idx="7">
                  <c:v>50~55周岁</c:v>
                </c:pt>
                <c:pt idx="8">
                  <c:v>55~60周岁</c:v>
                </c:pt>
                <c:pt idx="9">
                  <c:v>60~65周岁</c:v>
                </c:pt>
                <c:pt idx="10">
                  <c:v>65~70周岁</c:v>
                </c:pt>
                <c:pt idx="11">
                  <c:v>70周岁以上</c:v>
                </c:pt>
              </c:strCache>
            </c:strRef>
          </c:cat>
          <c:val>
            <c:numRef>
              <c:f>Sheet2!$C$36:$C$47</c:f>
              <c:numCache>
                <c:formatCode>General</c:formatCode>
                <c:ptCount val="12"/>
                <c:pt idx="0">
                  <c:v>922</c:v>
                </c:pt>
                <c:pt idx="1">
                  <c:v>3269</c:v>
                </c:pt>
                <c:pt idx="2">
                  <c:v>5759</c:v>
                </c:pt>
                <c:pt idx="3">
                  <c:v>4794</c:v>
                </c:pt>
                <c:pt idx="4">
                  <c:v>3111</c:v>
                </c:pt>
                <c:pt idx="5">
                  <c:v>1959</c:v>
                </c:pt>
                <c:pt idx="6">
                  <c:v>918</c:v>
                </c:pt>
                <c:pt idx="7">
                  <c:v>366</c:v>
                </c:pt>
                <c:pt idx="8">
                  <c:v>160</c:v>
                </c:pt>
                <c:pt idx="9">
                  <c:v>70</c:v>
                </c:pt>
                <c:pt idx="10">
                  <c:v>20</c:v>
                </c:pt>
                <c:pt idx="11">
                  <c:v>1</c:v>
                </c:pt>
              </c:numCache>
            </c:numRef>
          </c:val>
          <c:extLst>
            <c:ext xmlns:c16="http://schemas.microsoft.com/office/drawing/2014/chart" uri="{C3380CC4-5D6E-409C-BE32-E72D297353CC}">
              <c16:uniqueId val="{00000000-64BD-46A1-954A-B318451AAA05}"/>
            </c:ext>
          </c:extLst>
        </c:ser>
        <c:dLbls>
          <c:showLegendKey val="0"/>
          <c:showVal val="0"/>
          <c:showCatName val="0"/>
          <c:showSerName val="0"/>
          <c:showPercent val="0"/>
          <c:showBubbleSize val="0"/>
        </c:dLbls>
        <c:gapWidth val="219"/>
        <c:overlap val="-27"/>
        <c:axId val="752769840"/>
        <c:axId val="752767544"/>
      </c:barChart>
      <c:lineChart>
        <c:grouping val="standard"/>
        <c:varyColors val="0"/>
        <c:ser>
          <c:idx val="1"/>
          <c:order val="1"/>
          <c:spPr>
            <a:ln w="28575" cap="rnd">
              <a:solidFill>
                <a:schemeClr val="accent2"/>
              </a:solidFill>
              <a:round/>
            </a:ln>
            <a:effectLst/>
          </c:spPr>
          <c:marker>
            <c:symbol val="none"/>
          </c:marker>
          <c:cat>
            <c:strRef>
              <c:f>Sheet2!$B$36:$B$47</c:f>
              <c:strCache>
                <c:ptCount val="12"/>
                <c:pt idx="0">
                  <c:v>15~20周岁</c:v>
                </c:pt>
                <c:pt idx="1">
                  <c:v>20~25周岁</c:v>
                </c:pt>
                <c:pt idx="2">
                  <c:v>25~30周岁</c:v>
                </c:pt>
                <c:pt idx="3">
                  <c:v>30~35周岁</c:v>
                </c:pt>
                <c:pt idx="4">
                  <c:v>35~40周岁</c:v>
                </c:pt>
                <c:pt idx="5">
                  <c:v>40~45周岁</c:v>
                </c:pt>
                <c:pt idx="6">
                  <c:v>45~50周岁</c:v>
                </c:pt>
                <c:pt idx="7">
                  <c:v>50~55周岁</c:v>
                </c:pt>
                <c:pt idx="8">
                  <c:v>55~60周岁</c:v>
                </c:pt>
                <c:pt idx="9">
                  <c:v>60~65周岁</c:v>
                </c:pt>
                <c:pt idx="10">
                  <c:v>65~70周岁</c:v>
                </c:pt>
                <c:pt idx="11">
                  <c:v>70周岁以上</c:v>
                </c:pt>
              </c:strCache>
            </c:strRef>
          </c:cat>
          <c:val>
            <c:numRef>
              <c:f>Sheet2!$D$36:$D$47</c:f>
              <c:numCache>
                <c:formatCode>General</c:formatCode>
                <c:ptCount val="12"/>
                <c:pt idx="0">
                  <c:v>922</c:v>
                </c:pt>
                <c:pt idx="1">
                  <c:v>3269</c:v>
                </c:pt>
                <c:pt idx="2">
                  <c:v>5759</c:v>
                </c:pt>
                <c:pt idx="3">
                  <c:v>4794</c:v>
                </c:pt>
                <c:pt idx="4">
                  <c:v>3111</c:v>
                </c:pt>
                <c:pt idx="5">
                  <c:v>1959</c:v>
                </c:pt>
                <c:pt idx="6">
                  <c:v>918</c:v>
                </c:pt>
                <c:pt idx="7">
                  <c:v>366</c:v>
                </c:pt>
                <c:pt idx="8">
                  <c:v>160</c:v>
                </c:pt>
                <c:pt idx="9">
                  <c:v>70</c:v>
                </c:pt>
                <c:pt idx="10">
                  <c:v>20</c:v>
                </c:pt>
                <c:pt idx="11">
                  <c:v>1</c:v>
                </c:pt>
              </c:numCache>
            </c:numRef>
          </c:val>
          <c:smooth val="0"/>
          <c:extLst>
            <c:ext xmlns:c16="http://schemas.microsoft.com/office/drawing/2014/chart" uri="{C3380CC4-5D6E-409C-BE32-E72D297353CC}">
              <c16:uniqueId val="{00000001-64BD-46A1-954A-B318451AAA05}"/>
            </c:ext>
          </c:extLst>
        </c:ser>
        <c:dLbls>
          <c:showLegendKey val="0"/>
          <c:showVal val="0"/>
          <c:showCatName val="0"/>
          <c:showSerName val="0"/>
          <c:showPercent val="0"/>
          <c:showBubbleSize val="0"/>
        </c:dLbls>
        <c:marker val="1"/>
        <c:smooth val="0"/>
        <c:axId val="752769840"/>
        <c:axId val="752767544"/>
      </c:lineChart>
      <c:catAx>
        <c:axId val="752769840"/>
        <c:scaling>
          <c:orientation val="minMax"/>
        </c:scaling>
        <c:delete val="0"/>
        <c:axPos val="b"/>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52767544"/>
        <c:crosses val="autoZero"/>
        <c:auto val="1"/>
        <c:lblAlgn val="ctr"/>
        <c:lblOffset val="100"/>
        <c:noMultiLvlLbl val="0"/>
      </c:catAx>
      <c:valAx>
        <c:axId val="752767544"/>
        <c:scaling>
          <c:orientation val="minMax"/>
        </c:scaling>
        <c:delete val="0"/>
        <c:axPos val="l"/>
        <c:majorGridlines>
          <c:spPr>
            <a:ln>
              <a:solidFill>
                <a:schemeClr val="tx1">
                  <a:lumMod val="15000"/>
                  <a:lumOff val="85000"/>
                </a:schemeClr>
              </a:solidFill>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527698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35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6.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381">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850" kern="1200"/>
    <cs:bodyPr wrap="square" lIns="38100" tIns="19050" rIns="38100" bIns="19050" anchor="ctr">
      <a:spAutoFit/>
    </cs:bodyPr>
  </cs:dataLabel>
  <cs:dataLabelCallout>
    <cs:lnRef idx="0"/>
    <cs:fillRef idx="0"/>
    <cs:effectRef idx="0"/>
    <cs:fontRef idx="minor">
      <a:schemeClr val="tx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9525">
        <a:solidFill>
          <a:schemeClr val="lt1"/>
        </a:solidFill>
      </a:ln>
    </cs:spPr>
  </cs:dataPoint>
  <cs:dataPoint3D>
    <cs:lnRef idx="0"/>
    <cs:fillRef idx="0">
      <cs:styleClr val="auto"/>
    </cs:fillRef>
    <cs:effectRef idx="0"/>
    <cs:fontRef idx="minor">
      <a:schemeClr val="tx1"/>
    </cs:fontRef>
    <cs:spPr>
      <a:solidFill>
        <a:schemeClr val="phClr"/>
      </a:solidFill>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defRPr sz="900"/>
  </cs:dataTable>
  <cs:downBar>
    <cs:lnRef idx="0"/>
    <cs:fillRef idx="0"/>
    <cs:effectRef idx="0"/>
    <cs:fontRef idx="minor">
      <a:schemeClr val="tx1"/>
    </cs:fontRef>
    <cs:spPr>
      <a:solidFill>
        <a:schemeClr val="dk1"/>
      </a:solidFill>
    </cs:spPr>
  </cs:downBar>
  <cs:dropLine>
    <cs:lnRef idx="0"/>
    <cs:fillRef idx="0"/>
    <cs:effectRef idx="0"/>
    <cs:fontRef idx="minor">
      <a:schemeClr val="tx1"/>
    </cs:fontRef>
  </cs:dropLine>
  <cs:errorBar>
    <cs:lnRef idx="0"/>
    <cs:fillRef idx="0"/>
    <cs:effectRef idx="0"/>
    <cs:fontRef idx="minor">
      <a:schemeClr val="tx1"/>
    </cs:fontRef>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lumOff val="10000"/>
          </a:schemeClr>
        </a:solidFill>
        <a:round/>
      </a:ln>
    </cs:spPr>
  </cs:gridlineMinor>
  <cs:hiLoLine>
    <cs:lnRef idx="0"/>
    <cs:fillRef idx="0"/>
    <cs:effectRef idx="0"/>
    <cs:fontRef idx="minor">
      <a:schemeClr val="tx1"/>
    </cs:fontRef>
  </cs:hiLoLine>
  <cs:leaderLine>
    <cs:lnRef idx="0"/>
    <cs:fillRef idx="0"/>
    <cs:effectRef idx="0"/>
    <cs:fontRef idx="minor">
      <a:schemeClr val="tx1"/>
    </cs:fontRef>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b="0" kern="1200" spc="0" baseline="0"/>
    <cs:body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tx1"/>
    </cs:fontRef>
    <cs:spPr>
      <a:solidFill>
        <a:schemeClr val="lt1"/>
      </a:solidFill>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9.xml><?xml version="1.0" encoding="utf-8"?>
<cs:chartStyle xmlns:cs="http://schemas.microsoft.com/office/drawing/2012/chartStyle" xmlns:a="http://schemas.openxmlformats.org/drawingml/2006/main" id="323">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cap="flat" cmpd="sng" algn="ctr">
        <a:solidFill>
          <a:schemeClr val="tx1">
            <a:lumMod val="65000"/>
            <a:lumOff val="35000"/>
          </a:schemeClr>
        </a:solidFill>
        <a:round/>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15875" cap="flat" cmpd="sng" algn="ctr">
        <a:solidFill>
          <a:schemeClr val="tx1">
            <a:lumMod val="65000"/>
            <a:lumOff val="3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19</Pages>
  <Words>731</Words>
  <Characters>4169</Characters>
  <Application>Microsoft Office Word</Application>
  <DocSecurity>0</DocSecurity>
  <Lines>34</Lines>
  <Paragraphs>9</Paragraphs>
  <ScaleCrop>false</ScaleCrop>
  <Company>Microsoft</Company>
  <LinksUpToDate>false</LinksUpToDate>
  <CharactersWithSpaces>4891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dc:creator>
  <cp:keywords/>
  <dc:description/>
  <cp:lastModifiedBy>qi</cp:lastModifiedBy>
  <cp:revision>5</cp:revision>
  <dcterms:created xsi:type="dcterms:W3CDTF">2018-03-14T04:39:00Z</dcterms:created>
  <dcterms:modified xsi:type="dcterms:W3CDTF">2018-03-14T04:47:00Z</dcterms:modified>
</cp:coreProperties>
</file>