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ind w:left="0" w:right="0"/>
        <w:jc w:val="center"/>
      </w:pPr>
      <w:r>
        <w:rPr>
          <w:rFonts w:ascii="Times New Roman" w:hAnsi="Times New Roman" w:eastAsia="黑体"/>
          <w:b/>
          <w:sz w:val="30"/>
        </w:rPr>
        <w:t>中期报告填写材料</w:t>
      </w:r>
    </w:p>
    <w:p>
      <w:pPr>
        <w:spacing w:after="120" w:line="360" w:lineRule="auto"/>
        <w:ind w:left="0" w:right="0"/>
        <w:jc w:val="center"/>
      </w:pPr>
      <w:r>
        <w:rPr>
          <w:rFonts w:ascii="Times New Roman" w:hAnsi="Times New Roman" w:eastAsia="黑体"/>
          <w:b/>
          <w:sz w:val="22"/>
        </w:rPr>
        <w:t>基于强化学习与多目标优化的智能家居自适应决策系统</w:t>
      </w:r>
    </w:p>
    <w:p>
      <w:pPr>
        <w:spacing w:after="280" w:line="360" w:lineRule="auto"/>
        <w:ind w:left="0" w:right="0"/>
        <w:jc w:val="center"/>
      </w:pPr>
      <w:r>
        <w:rPr>
          <w:rFonts w:ascii="Times New Roman" w:hAnsi="Times New Roman" w:eastAsia="宋体"/>
          <w:b w:val="0"/>
          <w:sz w:val="19"/>
        </w:rPr>
        <w:t>（共五个模块，每个模块内容独立，可分别填入系统对应栏目）</w:t>
      </w:r>
    </w:p>
    <w:p>
      <w:pPr>
        <w:spacing w:before="320" w:after="160" w:line="336" w:lineRule="auto"/>
      </w:pPr>
      <w:r>
        <w:rPr>
          <w:rFonts w:ascii="Times New Roman" w:hAnsi="Times New Roman" w:eastAsia="黑体"/>
          <w:b/>
          <w:sz w:val="26"/>
        </w:rPr>
        <w:t>模块一　已取得成果</w:t>
      </w:r>
    </w:p>
    <w:p>
      <w:pPr>
        <w:spacing w:after="120" w:line="360" w:lineRule="auto"/>
        <w:ind w:left="0" w:right="0" w:firstLine="420"/>
      </w:pPr>
      <w:r>
        <w:rPr>
          <w:rFonts w:ascii="Times New Roman" w:hAnsi="Times New Roman" w:eastAsia="宋体"/>
          <w:b w:val="0"/>
          <w:sz w:val="21"/>
        </w:rPr>
        <w:t>本项目已完成的主要成果包括以下九个方面。</w:t>
      </w:r>
    </w:p>
    <w:p>
      <w:pPr>
        <w:spacing w:after="120" w:line="360" w:lineRule="auto"/>
        <w:ind w:left="0" w:right="0" w:firstLine="420"/>
      </w:pPr>
      <w:r>
        <w:rPr>
          <w:rFonts w:ascii="Times New Roman" w:hAnsi="Times New Roman" w:eastAsia="宋体"/>
          <w:b w:val="0"/>
          <w:sz w:val="21"/>
        </w:rPr>
        <w:t>第一，完成问题建模。将家庭环境控制问题形式化为马尔可夫决策过程，状态空间包含 25 维特征，涵盖室内温湿度、光照强度、人员占用状态、时间上下文、室外环境、设备运行状态与电价信息；动作空间包含 36 个离散动作，由空调 5 档设定温度、照明 3 档与通风 2 档组合而成；奖励函数由舒适度代价、能耗代价与设备切换惩罚三部分构成。同时完成了马尔可夫性检验，验证了状态设计的合理性。</w:t>
      </w:r>
    </w:p>
    <w:p>
      <w:pPr>
        <w:spacing w:after="120" w:line="360" w:lineRule="auto"/>
        <w:ind w:left="0" w:right="0" w:firstLine="420"/>
      </w:pPr>
      <w:r>
        <w:rPr>
          <w:rFonts w:ascii="Times New Roman" w:hAnsi="Times New Roman" w:eastAsia="宋体"/>
          <w:b w:val="0"/>
          <w:sz w:val="21"/>
        </w:rPr>
        <w:t>第二，搭建仿真实验平台。自行开发了智能家居环境仿真平台，包含热力学模型、湿度模型、光照模型与人员占用模型四个部分，并实现了约束机制（空调最小切换间隔、无人时自动关闭空调）与统一的评估口径，保证所有对比实验采用相同的评价标准。</w:t>
      </w:r>
    </w:p>
    <w:p>
      <w:pPr>
        <w:spacing w:after="120" w:line="360" w:lineRule="auto"/>
        <w:ind w:left="0" w:right="0" w:firstLine="420"/>
      </w:pPr>
      <w:r>
        <w:rPr>
          <w:rFonts w:ascii="Times New Roman" w:hAnsi="Times New Roman" w:eastAsia="宋体"/>
          <w:b w:val="0"/>
          <w:sz w:val="21"/>
        </w:rPr>
        <w:t>第三，完成算法实现。实现了基于近端策略优化（PPO）的强化学习控制策略；另外实现了循环网络策略（用于时序建模能力对比）以及显式储能（电池）建模，为跨时段能量调度提供物理载体。</w:t>
      </w:r>
    </w:p>
    <w:p>
      <w:pPr>
        <w:spacing w:after="120" w:line="360" w:lineRule="auto"/>
        <w:ind w:left="0" w:right="0" w:firstLine="420"/>
      </w:pPr>
      <w:r>
        <w:rPr>
          <w:rFonts w:ascii="Times New Roman" w:hAnsi="Times New Roman" w:eastAsia="宋体"/>
          <w:b w:val="0"/>
          <w:sz w:val="21"/>
        </w:rPr>
        <w:t>第四，建立实验体系。共完成 8 组系统实验，包括无分时电价场景的主实验、等舒适度比较实验、分时电价场景实验、消融实验（采用多种子重复设计，每组 75 个样本）、参数敏感性完整扫描、循环网络对比实验、储能对比实验以及电价结构变化适应实验。同时构建了 5 类对照策略，包括恒温运行、全程关闭、定温规则控制、分时电价规则控制以及规则控制加储能。</w:t>
      </w:r>
    </w:p>
    <w:p>
      <w:pPr>
        <w:spacing w:after="120" w:line="360" w:lineRule="auto"/>
        <w:ind w:left="0" w:right="0" w:firstLine="420"/>
      </w:pPr>
      <w:r>
        <w:rPr>
          <w:rFonts w:ascii="Times New Roman" w:hAnsi="Times New Roman" w:eastAsia="宋体"/>
          <w:b w:val="0"/>
          <w:sz w:val="21"/>
        </w:rPr>
        <w:t>第五，舒适度指标显著优于规则控制。在无分时电价场景下，本方法的舒适度不达标率由规则控制的 21.57% 降低至 11.73%，降幅为 45.6%。</w:t>
      </w:r>
    </w:p>
    <w:p>
      <w:pPr>
        <w:spacing w:after="120" w:line="360" w:lineRule="auto"/>
        <w:ind w:left="0" w:right="0" w:firstLine="420"/>
      </w:pPr>
      <w:r>
        <w:rPr>
          <w:rFonts w:ascii="Times New Roman" w:hAnsi="Times New Roman" w:eastAsia="宋体"/>
          <w:b w:val="0"/>
          <w:sz w:val="21"/>
        </w:rPr>
        <w:t>第六，控制平稳性显著优于规则控制。本方法的设备日均切换次数由规则控制的 24.6 次降至 7.4 次，降幅为 70.0%，且几乎没有额外代价；温度偏差均方根误差由 0.735 降至 0.055，降幅为 92.5%。设备启停次数减少有利于延长设备使用寿命。</w:t>
      </w:r>
    </w:p>
    <w:p>
      <w:pPr>
        <w:spacing w:after="120" w:line="360" w:lineRule="auto"/>
        <w:ind w:left="0" w:right="0" w:firstLine="420"/>
      </w:pPr>
      <w:r>
        <w:rPr>
          <w:rFonts w:ascii="Times New Roman" w:hAnsi="Times New Roman" w:eastAsia="宋体"/>
          <w:b w:val="0"/>
          <w:sz w:val="21"/>
        </w:rPr>
        <w:t>第七，相对恒温运行实现明显节能，储能与循环网络也带来明显收益。本方法的日均能耗由恒温运行的 5.328 千瓦时降至 4.472 千瓦时，节能量为 16.1%，而两者舒适度基本持平；采用循环网络后日电费由 3.650 元降至 3.060 元，降幅 16.1%；引入 4 千瓦时电池储能后，规则控制的日电费降低 28% 至 35%，本方法的日电费降低 23.2%，同时谷段用电占比由约 47% 提升至 95% 以上，峰段用电接近为零。</w:t>
      </w:r>
    </w:p>
    <w:p>
      <w:pPr>
        <w:spacing w:after="120" w:line="360" w:lineRule="auto"/>
        <w:ind w:left="0" w:right="0" w:firstLine="420"/>
      </w:pPr>
      <w:r>
        <w:rPr>
          <w:rFonts w:ascii="Times New Roman" w:hAnsi="Times New Roman" w:eastAsia="宋体"/>
          <w:b w:val="0"/>
          <w:sz w:val="21"/>
        </w:rPr>
        <w:t>第八，本方法的可用工作区间更宽。在多种参数配置下，规则控制可达的最低舒适度不达标率落在 24% 至 29% 之间，而本方法可以降至 8% 至 19%，即本方法能够覆盖约 7 至 21 个百分点的、规则控制难以达到的低不达标率区间，从而支持按用户偏好配置舒适度与能耗平衡这一目标。此外还首次量化了规则控制方案的一项隐含成本：当电价结构发生变化时，若规则控制不重新进行人工调参，日电费将由 1.713 元上升至 2.567 元，上升幅度为 49.8%。</w:t>
      </w:r>
    </w:p>
    <w:p>
      <w:pPr>
        <w:spacing w:after="120" w:line="360" w:lineRule="auto"/>
        <w:ind w:left="0" w:right="0" w:firstLine="420"/>
      </w:pPr>
      <w:r>
        <w:rPr>
          <w:rFonts w:ascii="Times New Roman" w:hAnsi="Times New Roman" w:eastAsia="宋体"/>
          <w:b w:val="0"/>
          <w:sz w:val="21"/>
        </w:rPr>
        <w:t>第九，工程与验证性成果。环境自检的 6 类检查（接口正确性、观测合法性、动力学合理性、奖励合理性、约束有效性、指标产出）全部通过；数据标定链路经合成数据验证，参数反推误差为 0.2% 与 0.4%；马尔可夫性检验通过；约束机制之间的一致性问题得到修正，异常样本归零；评估口径完成统一；建立了文档数据自动核对机制，当前全部实验数字核对通过。项目现有脚本 30 个、图表 41 张、文档 4 份共约 1300 行。</w:t>
      </w:r>
    </w:p>
    <w:p>
      <w:pPr>
        <w:spacing w:after="40" w:line="360" w:lineRule="auto"/>
        <w:ind w:left="0" w:right="0"/>
      </w:pPr>
    </w:p>
    <w:p>
      <w:pPr>
        <w:spacing w:before="320" w:after="160" w:line="336" w:lineRule="auto"/>
      </w:pPr>
      <w:r>
        <w:rPr>
          <w:rFonts w:ascii="Times New Roman" w:hAnsi="Times New Roman" w:eastAsia="黑体"/>
          <w:b/>
          <w:sz w:val="26"/>
        </w:rPr>
        <w:t>模块二　项目进展状况小结</w:t>
      </w:r>
    </w:p>
    <w:p>
      <w:pPr>
        <w:spacing w:after="120" w:line="360" w:lineRule="auto"/>
        <w:ind w:left="0" w:right="0" w:firstLine="420"/>
      </w:pPr>
      <w:r>
        <w:rPr>
          <w:rFonts w:ascii="Times New Roman" w:hAnsi="Times New Roman" w:eastAsia="宋体"/>
          <w:b w:val="0"/>
          <w:sz w:val="21"/>
        </w:rPr>
        <w:t>本项目按照“环境感知—数据建模—智能决策—系统验证”的技术路线推进。截至中期，软件的开发与实验工作已全部完成并超出原计划，硬件的选型与采购已完成、正在等待到货。项目整体进度符合预期，未出现实质性延期。</w:t>
      </w:r>
    </w:p>
    <w:p>
      <w:pPr>
        <w:spacing w:after="120" w:line="360" w:lineRule="auto"/>
        <w:ind w:left="0" w:right="0" w:firstLine="420"/>
      </w:pPr>
      <w:r>
        <w:rPr>
          <w:rFonts w:ascii="Times New Roman" w:hAnsi="Times New Roman" w:eastAsia="宋体"/>
          <w:b w:val="0"/>
          <w:sz w:val="21"/>
        </w:rPr>
        <w:t>从各项工作完成情况看：问题建模、仿真平台搭建、算法实现、实验体系建立、数据链路打通、文档撰写六项工作已全部完成，且实验部分的工作量超出原计划。硬件方面，全部器件的选型与采购已完成，硬件验证程序与数据采集程序已在无硬件条件下提前编写完成并编译通过，具备到货后即可烧录的条件，目前仅等待器件到货后开展实物验证与真实数据采集。</w:t>
      </w:r>
    </w:p>
    <w:p>
      <w:pPr>
        <w:spacing w:after="120" w:line="360" w:lineRule="auto"/>
        <w:ind w:left="0" w:right="0" w:firstLine="420"/>
      </w:pPr>
      <w:r>
        <w:rPr>
          <w:rFonts w:ascii="Times New Roman" w:hAnsi="Times New Roman" w:eastAsia="宋体"/>
          <w:b w:val="0"/>
          <w:sz w:val="21"/>
        </w:rPr>
        <w:t>在需要如实说明的方面：本项目原定目标之一是降低电费。围绕这一目标，先后系统检验了 7 条技术路线，包括时间场景化权重、前视电价机制、循环网络、增加训练步数、显式储能建模、奖励权重重标定以及电价结构变化适应。检验结果表明，本方法在上述所有情况下均未能超过人工规则控制，电费差距为 20% 至 132%。</w:t>
      </w:r>
    </w:p>
    <w:p>
      <w:pPr>
        <w:spacing w:after="120" w:line="360" w:lineRule="auto"/>
        <w:ind w:left="0" w:right="0" w:firstLine="420"/>
      </w:pPr>
      <w:r>
        <w:rPr>
          <w:rFonts w:ascii="Times New Roman" w:hAnsi="Times New Roman" w:eastAsia="宋体"/>
          <w:b w:val="0"/>
          <w:sz w:val="21"/>
        </w:rPr>
        <w:t>根本原因已经定位：本方法的舒适度不达标率约为 11%，而规则控制约为 32% 至 37%，但本方法为此付出了 48% 至 71% 的额外能耗。也就是说，强化学习学到的是高能耗的温度控制器，而人工规则是低能耗的成本最小化器。基于这一认识，项目将方法定位由全面超越规则控制调整为舒适度优先的自适应控制方法，本方法的价值体现在舒适度、控制平稳性、可用工作区间宽度以及无需人工设计规则这几个方面。</w:t>
      </w:r>
    </w:p>
    <w:p>
      <w:pPr>
        <w:spacing w:after="120" w:line="360" w:lineRule="auto"/>
        <w:ind w:left="0" w:right="0" w:firstLine="420"/>
      </w:pPr>
      <w:r>
        <w:rPr>
          <w:rFonts w:ascii="Times New Roman" w:hAnsi="Times New Roman" w:eastAsia="宋体"/>
          <w:b w:val="0"/>
          <w:sz w:val="21"/>
        </w:rPr>
        <w:t>需要说明的是，上述否定性结论均建立在严格化的比较口径之上。在分析过程中发现早期比较存在口径缺陷（在不同舒适度水平下直接比较电费，会导致结论失真），为此专门构建了等舒适度比较与帕累托前沿分析两套更严格的评判方法，并通过多轮实验确认结论可靠。同时，自查中发现并修正了一处文档数据版本不一致的问题：文档中“本方法在能耗上也优于规则控制”的表述源自早期版本数据，而后续版本中该结论已经反转，已核实原始数据后修正，并建立了数据一致性自动核对机制。</w:t>
      </w:r>
    </w:p>
    <w:p>
      <w:pPr>
        <w:spacing w:after="40" w:line="360" w:lineRule="auto"/>
        <w:ind w:left="0" w:right="0"/>
      </w:pPr>
    </w:p>
    <w:p>
      <w:pPr>
        <w:spacing w:before="320" w:after="160" w:line="336" w:lineRule="auto"/>
      </w:pPr>
      <w:r>
        <w:rPr>
          <w:rFonts w:ascii="Times New Roman" w:hAnsi="Times New Roman" w:eastAsia="黑体"/>
          <w:b/>
          <w:sz w:val="26"/>
        </w:rPr>
        <w:t>模块三　项目存在的问题及解决方案</w:t>
      </w:r>
    </w:p>
    <w:p>
      <w:pPr>
        <w:spacing w:after="120" w:line="360" w:lineRule="auto"/>
        <w:ind w:left="0" w:right="0" w:firstLine="420"/>
      </w:pPr>
      <w:r>
        <w:rPr>
          <w:rFonts w:ascii="Times New Roman" w:hAnsi="Times New Roman" w:eastAsia="宋体"/>
          <w:b w:val="0"/>
          <w:sz w:val="21"/>
        </w:rPr>
        <w:t>问题一：硬件采购到货延迟，实物验证环节滞后。</w:t>
      </w:r>
    </w:p>
    <w:p>
      <w:pPr>
        <w:spacing w:after="120" w:line="360" w:lineRule="auto"/>
        <w:ind w:left="0" w:right="0" w:firstLine="420"/>
      </w:pPr>
      <w:r>
        <w:rPr>
          <w:rFonts w:ascii="Times New Roman" w:hAnsi="Times New Roman" w:eastAsia="宋体"/>
          <w:b w:val="0"/>
          <w:sz w:val="21"/>
        </w:rPr>
        <w:t>问题描述：项目所需的开发板与 5 类传感器因物流原因尚未到货，导致实物系统验证与实测数据采集两个环节无法按期开展，硬件部分的进度明显落后于软件部分。</w:t>
      </w:r>
    </w:p>
    <w:p>
      <w:pPr>
        <w:spacing w:after="120" w:line="360" w:lineRule="auto"/>
        <w:ind w:left="0" w:right="0" w:firstLine="420"/>
      </w:pPr>
      <w:r>
        <w:rPr>
          <w:rFonts w:ascii="Times New Roman" w:hAnsi="Times New Roman" w:eastAsia="宋体"/>
          <w:b w:val="0"/>
          <w:sz w:val="21"/>
        </w:rPr>
        <w:t>解决方案：第一，提前完成固件开发。在无硬件条件下完成了硬件验证程序与长时间数据采集程序的编写，两份程序均已编译通过，使硬件到货后可以立即烧录，显著缩短现场调试时间。第二，提前打通数据链路。开发了合成数据生成器，在无真实数据条件下验证了采集、标定、参数反推整条流程，标定精度达到 0.2% 与 0.4%，保证硬件到货后链路可以直接使用。第三，调整硬件端的定位。由于家庭使用的中央空调不具备程序控制接口（无红外遥控、无通讯接口），将硬件端定位由闭环控制实验调整为感知链路验证与真实作息、热工参数采集，控制策略的验证在仿真环境中完成。第四，制定到货即用的操作清单，编写了接线表、烧录参数与采集流程，人工投入约 40 分钟，降低到货后的时间成本。后续措施：持续跟踪物流进度，硬件到货后立即执行验活、采集 3 天数据、参数标定流程，并同步人工记录空调使用时段。</w:t>
      </w:r>
    </w:p>
    <w:p>
      <w:pPr>
        <w:spacing w:after="120" w:line="360" w:lineRule="auto"/>
        <w:ind w:left="0" w:right="0" w:firstLine="420"/>
      </w:pPr>
      <w:r>
        <w:rPr>
          <w:rFonts w:ascii="Times New Roman" w:hAnsi="Times New Roman" w:eastAsia="宋体"/>
          <w:b w:val="0"/>
          <w:sz w:val="21"/>
        </w:rPr>
        <w:t>问题二：强化学习在电费指标上未能超过人工规则。</w:t>
      </w:r>
    </w:p>
    <w:p>
      <w:pPr>
        <w:spacing w:after="120" w:line="360" w:lineRule="auto"/>
        <w:ind w:left="0" w:right="0" w:firstLine="420"/>
      </w:pPr>
      <w:r>
        <w:rPr>
          <w:rFonts w:ascii="Times New Roman" w:hAnsi="Times New Roman" w:eastAsia="宋体"/>
          <w:b w:val="0"/>
          <w:sz w:val="21"/>
        </w:rPr>
        <w:t>问题描述：项目原定目标之一是“利用强化学习实现自适应控制并优于规则控制”。但实验结果表明，在分时电价场景下人工规则的电费显著更低，差距为 20% 至 132%。这是对项目预期的重大偏离，也是本项目遇到的最主要困难。</w:t>
      </w:r>
    </w:p>
    <w:p>
      <w:pPr>
        <w:spacing w:after="120" w:line="360" w:lineRule="auto"/>
        <w:ind w:left="0" w:right="0" w:firstLine="420"/>
      </w:pPr>
      <w:r>
        <w:rPr>
          <w:rFonts w:ascii="Times New Roman" w:hAnsi="Times New Roman" w:eastAsia="宋体"/>
          <w:b w:val="0"/>
          <w:sz w:val="21"/>
        </w:rPr>
        <w:t>解决方案：第一，系统排查而非规避问题。依次检验了 7 条可能的技术路线，每一条都给出了量化结论与失败原因分析，而不是选择性报告有利结果。第二，严格化比较口径。构建了等舒适度比较与帕累托前沿分析两套更严格的评判方法，避免因比较口径不当而得出失真结论。第三，定位根本原因。通过量化分析证实，本方法的能耗比规则控制高 48% 至 71%，这是电费劣势的直接来源，且该劣势无法通过调整参数、更换网络结构或增加储能来消除。第四，修正项目定位，将目标由全面超越规则控制调整为多维度性能权衡与能力边界刻画。取得的认识：该结果本身具有方法学价值，它界定了强化学习方法的适用边界，即在电价结构已知且固定、最优策略可以被简单规则刻画的场景下，人工规则难以被超越；而在评价指标难以写成明确规则的场景下，例如需要同时兼顾舒适度与控制平稳性时，学习方法具有明确优势。</w:t>
      </w:r>
    </w:p>
    <w:p>
      <w:pPr>
        <w:spacing w:after="120" w:line="360" w:lineRule="auto"/>
        <w:ind w:left="0" w:right="0" w:firstLine="420"/>
      </w:pPr>
      <w:r>
        <w:rPr>
          <w:rFonts w:ascii="Times New Roman" w:hAnsi="Times New Roman" w:eastAsia="宋体"/>
          <w:b w:val="0"/>
          <w:sz w:val="21"/>
        </w:rPr>
        <w:t>问题三：项目文档存在数据版本不一致的风险。</w:t>
      </w:r>
    </w:p>
    <w:p>
      <w:pPr>
        <w:spacing w:after="120" w:line="360" w:lineRule="auto"/>
        <w:ind w:left="0" w:right="0" w:firstLine="420"/>
      </w:pPr>
      <w:r>
        <w:rPr>
          <w:rFonts w:ascii="Times New Roman" w:hAnsi="Times New Roman" w:eastAsia="宋体"/>
          <w:b w:val="0"/>
          <w:sz w:val="21"/>
        </w:rPr>
        <w:t>问题描述：项目经历多个版本迭代，在中期自查过程中发现一处事实性错误。文档中“本方法在能耗上也优于规则控制”的表述源自早期版本的数据，而在后续版本中该结论已经反转，但文档未能同步更新。</w:t>
      </w:r>
    </w:p>
    <w:p>
      <w:pPr>
        <w:spacing w:after="120" w:line="360" w:lineRule="auto"/>
        <w:ind w:left="0" w:right="0" w:firstLine="420"/>
      </w:pPr>
      <w:r>
        <w:rPr>
          <w:rFonts w:ascii="Times New Roman" w:hAnsi="Times New Roman" w:eastAsia="宋体"/>
          <w:b w:val="0"/>
          <w:sz w:val="21"/>
        </w:rPr>
        <w:t>解决方案：第一，立即修正。核对原始评估数据后，修正了 3 份文档中的相关表述，并保留修正记录。第二，建立自动核对机制，新增数据一致性核对脚本，覆盖全部实验的关键数字与派生指标，可以随时复核。第三，核对结果，当前全部实验数字核对通过，无一处不符。该机制将在结题阶段继续使用，以保证最终报告的数据准确。</w:t>
      </w:r>
    </w:p>
    <w:p>
      <w:pPr>
        <w:spacing w:after="40" w:line="360" w:lineRule="auto"/>
        <w:ind w:left="0" w:right="0"/>
      </w:pPr>
    </w:p>
    <w:p>
      <w:pPr>
        <w:spacing w:before="320" w:after="160" w:line="336" w:lineRule="auto"/>
      </w:pPr>
      <w:r>
        <w:rPr>
          <w:rFonts w:ascii="Times New Roman" w:hAnsi="Times New Roman" w:eastAsia="黑体"/>
          <w:b/>
          <w:sz w:val="26"/>
        </w:rPr>
        <w:t>模块四　项目今后计划</w:t>
      </w:r>
    </w:p>
    <w:p>
      <w:pPr>
        <w:spacing w:after="120" w:line="360" w:lineRule="auto"/>
        <w:ind w:left="0" w:right="0" w:firstLine="420"/>
      </w:pPr>
      <w:r>
        <w:rPr>
          <w:rFonts w:ascii="Times New Roman" w:hAnsi="Times New Roman" w:eastAsia="宋体"/>
          <w:b w:val="0"/>
          <w:sz w:val="21"/>
        </w:rPr>
        <w:t>第一，硬件到货后的验证工作。硬件到货后首先烧录硬件验证程序，确认感知链路正常，具体包括芯片信息读取、I2C 总线扫描与各传感器读数校验，预计在硬件到货后 1 天内完成。</w:t>
      </w:r>
    </w:p>
    <w:p>
      <w:pPr>
        <w:spacing w:after="120" w:line="360" w:lineRule="auto"/>
        <w:ind w:left="0" w:right="0" w:firstLine="420"/>
      </w:pPr>
      <w:r>
        <w:rPr>
          <w:rFonts w:ascii="Times New Roman" w:hAnsi="Times New Roman" w:eastAsia="宋体"/>
          <w:b w:val="0"/>
          <w:sz w:val="21"/>
        </w:rPr>
        <w:t>第二，实测数据采集。完成验活后，挂机采集 3 天的真实数据，内容包括温湿度、光照强度与人员占用状态，同时人工记录空调使用时段，预计在硬件到货后 1 周内完成。选择 3 天的原因是需要覆盖工作日与周末，以便区分不同星期的作息差异。</w:t>
      </w:r>
    </w:p>
    <w:p>
      <w:pPr>
        <w:spacing w:after="120" w:line="360" w:lineRule="auto"/>
        <w:ind w:left="0" w:right="0" w:firstLine="420"/>
      </w:pPr>
      <w:r>
        <w:rPr>
          <w:rFonts w:ascii="Times New Roman" w:hAnsi="Times New Roman" w:eastAsia="宋体"/>
          <w:b w:val="0"/>
          <w:sz w:val="21"/>
        </w:rPr>
        <w:t>第三，仿真模型参数标定。利用采集到的真实数据，反推围护结构传热系数与房间等效热容，替换目前使用的估计值；同时统计真实的每周 24 小时人员占用概率分布，替换仿真中内置的典型上班族假设，预计在数据采集完成后 2 天内完成。</w:t>
      </w:r>
    </w:p>
    <w:p>
      <w:pPr>
        <w:spacing w:after="120" w:line="360" w:lineRule="auto"/>
        <w:ind w:left="0" w:right="0" w:firstLine="420"/>
      </w:pPr>
      <w:r>
        <w:rPr>
          <w:rFonts w:ascii="Times New Roman" w:hAnsi="Times New Roman" w:eastAsia="宋体"/>
          <w:b w:val="0"/>
          <w:sz w:val="21"/>
        </w:rPr>
        <w:t>第四，用标定后的模型重新评估全部策略。将真实作息分布写入仿真配置后，对全部对照策略重新评估，输出最终的实验结论，预计在 10 至 15 天内完成。</w:t>
      </w:r>
    </w:p>
    <w:p>
      <w:pPr>
        <w:spacing w:after="120" w:line="360" w:lineRule="auto"/>
        <w:ind w:left="0" w:right="0" w:firstLine="420"/>
      </w:pPr>
      <w:r>
        <w:rPr>
          <w:rFonts w:ascii="Times New Roman" w:hAnsi="Times New Roman" w:eastAsia="宋体"/>
          <w:b w:val="0"/>
          <w:sz w:val="21"/>
        </w:rPr>
        <w:t>第五，结题材料整理。整理全部实验成果，撰写结题报告；准备答辩材料，包括问题定位演进图、实验结论速览、马尔可夫决策过程建模框图等。预计在结题前 2 周完成报告撰写，结题前 1 周完成答辩材料。</w:t>
      </w:r>
    </w:p>
    <w:p>
      <w:pPr>
        <w:spacing w:after="120" w:line="360" w:lineRule="auto"/>
        <w:ind w:left="0" w:right="0" w:firstLine="420"/>
      </w:pPr>
      <w:r>
        <w:rPr>
          <w:rFonts w:ascii="Times New Roman" w:hAnsi="Times New Roman" w:eastAsia="宋体"/>
          <w:b w:val="0"/>
          <w:sz w:val="21"/>
        </w:rPr>
        <w:t>第六，可选扩展工作。在时间允许的情况下，计划将仿真环境扩展至多房间与多设备耦合场景，检验本方法在高维耦合决策问题上的表现；并根据经费情况考虑补充高精度传感器用于数据校准比对。该部分为可选内容，视实际进度安排。</w:t>
      </w:r>
    </w:p>
    <w:p>
      <w:pPr>
        <w:spacing w:after="120" w:line="360" w:lineRule="auto"/>
        <w:ind w:left="0" w:right="0" w:firstLine="420"/>
      </w:pPr>
      <w:r>
        <w:rPr>
          <w:rFonts w:ascii="Times New Roman" w:hAnsi="Times New Roman" w:eastAsia="宋体"/>
          <w:b w:val="0"/>
          <w:sz w:val="21"/>
        </w:rPr>
        <w:t>总体说明：核心实验已经完成，后续工作的重点是实测数据接入与模型标定，以及成果整理与结题材料撰写。软件部分不再新增大规模实验，以保证项目按期结题。</w:t>
      </w:r>
    </w:p>
    <w:p>
      <w:pPr>
        <w:spacing w:after="40" w:line="360" w:lineRule="auto"/>
        <w:ind w:left="0" w:right="0"/>
      </w:pPr>
    </w:p>
    <w:p>
      <w:pPr>
        <w:spacing w:before="320" w:after="160" w:line="336" w:lineRule="auto"/>
      </w:pPr>
      <w:r>
        <w:rPr>
          <w:rFonts w:ascii="Times New Roman" w:hAnsi="Times New Roman" w:eastAsia="黑体"/>
          <w:b/>
          <w:sz w:val="26"/>
        </w:rPr>
        <w:t>模块五　经费使用情况和经费安排计划</w:t>
      </w:r>
    </w:p>
    <w:p>
      <w:pPr>
        <w:spacing w:after="120" w:line="360" w:lineRule="auto"/>
        <w:ind w:left="0" w:right="0" w:firstLine="420"/>
      </w:pPr>
      <w:r>
        <w:rPr>
          <w:rFonts w:ascii="Times New Roman" w:hAnsi="Times New Roman" w:eastAsia="宋体"/>
          <w:b w:val="0"/>
          <w:sz w:val="21"/>
        </w:rPr>
        <w:t>本项目总预算为 1000 元。截至中期，已支出 212.54 元，剩余 787.46 元，经费执行率为 21.3%，整体支出节奏稳健，剩余经费充足。</w:t>
      </w:r>
    </w:p>
    <w:p>
      <w:pPr>
        <w:spacing w:after="120" w:line="360" w:lineRule="auto"/>
        <w:ind w:left="0" w:right="0" w:firstLine="420"/>
      </w:pPr>
      <w:r>
        <w:rPr>
          <w:rFonts w:ascii="Times New Roman" w:hAnsi="Times New Roman" w:eastAsia="宋体"/>
          <w:b w:val="0"/>
          <w:sz w:val="21"/>
        </w:rPr>
        <w:t>已支出部分包括两项。第一项为硬件采购，金额 142.54 元，具体包括：ESP32-S3-N16R8 开发板一块；SHT31 温湿度传感器（串口版）一个；BH1750 光照传感器一个；HC-SR501 人体活动传感器两个；LD2410C 毫米波雷达人体存在传感器一个；以及 830 孔面包板套件一套（含杜邦线与电源模块）。硬件部分在选型时以国产替代与模块化方案控制成本，全部器件均选取免焊接的成品模块，实际支出仅占项目总预算的 14.3%。</w:t>
      </w:r>
    </w:p>
    <w:p>
      <w:pPr>
        <w:spacing w:after="120" w:line="360" w:lineRule="auto"/>
        <w:ind w:left="0" w:right="0" w:firstLine="420"/>
      </w:pPr>
      <w:r>
        <w:rPr>
          <w:rFonts w:ascii="Times New Roman" w:hAnsi="Times New Roman" w:eastAsia="宋体"/>
          <w:b w:val="0"/>
          <w:sz w:val="21"/>
        </w:rPr>
        <w:t>第二项为 API 调用费用，金额 70 元。该费用用于项目全周期的大模型调用，具体包括环境建模、算法实现、实验脚本开发、实验结果分析与文档撰写等工作，是本项目的主要智力成本项。以上两项合计支出 212.54 元。</w:t>
      </w:r>
    </w:p>
    <w:p>
      <w:pPr>
        <w:spacing w:after="120" w:line="360" w:lineRule="auto"/>
        <w:ind w:left="0" w:right="0" w:firstLine="420"/>
      </w:pPr>
      <w:r>
        <w:rPr>
          <w:rFonts w:ascii="Times New Roman" w:hAnsi="Times New Roman" w:eastAsia="宋体"/>
          <w:b w:val="0"/>
          <w:sz w:val="21"/>
        </w:rPr>
        <w:t>剩余经费为 787.46 元，计划按以下四个方面安排使用。第一，API 调用费用预留 300 元，用于后续的实测数据标定、最终实验复核、结题报告撰写与答辩材料准备工作。第二，硬件补充预留 200 元，若现有传感器的测量精度不足，计划补充高精度温湿度记录仪用于数据校准比对，或用于补充备件。第三，成果制作预留 150 元，用于结题报告的印制以及答辩海报或展板的制作。第四，机动预留 137.46 元，用于应对不可预见支出，例如器件损坏后的补购或额外的数据采集需求。</w:t>
      </w:r>
    </w:p>
    <w:sectPr w:rsidR="00FC693F" w:rsidRPr="0006063C" w:rsidSect="00034616">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