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sz w:val="28"/>
        </w:rPr>
        <w:t>基于强化学习与多目标优化的</w:t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sz w:val="28"/>
        </w:rPr>
        <w:t>智能家居自适应决策系统</w:t>
      </w:r>
    </w:p>
    <w:p>
      <w:pPr>
        <w:spacing w:after="320"/>
        <w:jc w:val="center"/>
      </w:pPr>
      <w:r>
        <w:rPr>
          <w:rFonts w:ascii="Times New Roman" w:hAnsi="Times New Roman" w:eastAsia="黑体"/>
          <w:b/>
          <w:sz w:val="24"/>
        </w:rPr>
        <w:t>中 期 报 告</w:t>
      </w:r>
    </w:p>
    <w:p>
      <w:pPr>
        <w:spacing w:before="280" w:after="120" w:line="336" w:lineRule="auto"/>
      </w:pPr>
      <w:r>
        <w:rPr>
          <w:rFonts w:ascii="Times New Roman" w:hAnsi="Times New Roman" w:eastAsia="黑体"/>
          <w:b/>
          <w:sz w:val="26"/>
        </w:rPr>
        <w:t>一、项目进展情况小结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本项目按照“环境感知—数据建模—智能决策—系统验证”的技术路线推进。截至中期，软件的开发与实验工作已全部完成并超出原计划，硬件的选型与采购已完成、正在等待到货。项目整体进度符合预期，未出现实质性延期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（一）已完成的工作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第一，完成问题建模。将家庭环境控制问题形式化为马尔可夫决策过程，其中状态空间包含 25 维特征（室内温湿度、光照、人员占用、时间上下文、室外环境、设备状态、电价信息等），动作空间包含 36 个离散动作（空调 5 档设定温度 × 照明 3 档 × 通风 2 档），奖励函数由舒适度代价、能耗代价与设备切换惩罚三部分构成。同时完成了马尔可夫性检验，验证了状态设计的合理性。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二，搭建仿真实验平台。自行开发了智能家居环境仿真平台，包含热力学模型、湿度模型、光照模型与人员占用模型四个部分，并实现了约束机制（空调最小切换间隔、无人时自动关机）与统一的评估口径，保证所有对比实验采用相同的评价标准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第三，完成算法实现。实现了基于 PPO 的强化学习控制策略；另外实现了循环网络策略（RecurrentPPO，用于时序建模能力对比）以及显式储能（电池）建模，为跨时段能量调度提供物理载体。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第四，建立实验体系。共完成 8 组系统实验，包括：无分时电价场景的主实验、等舒适度比较实验、分时电价场景实验、消融实验（采用多种子重复设计，每组 75 个样本）、参数敏感性完整扫描、循环网络对比实验、储能对比实验、以及电价结构变化适应实验。同时构建了 5 类对照策略，包括恒温运行、全程关闭、定温规则控制、分时电价规则控制、以及规则控制加储能。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第五，完成硬件准备。完成全部器件的选型与采购，包括 ESP32-S3 开发板、温湿度传感器、光照传感器、人体活动传感器、毫米波雷达人体存在传感器与面包板套件。在硬件到货之前，已提前编写完成硬件验证程序与数据采集程序，两份程序均已编译通过，具备到货后即可烧录的条件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第六，打通数据链路。完成了电脑端数据采集脚本、数据标定脚本（用于从实测数据反推建筑热工参数）、以及合成数据生成器。其中标定链路已通过合成数据验证，参数反推误差为 0.2% 与 0.4%，说明该链路可靠。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第七，完成文档工作。共形成 4 份文档，合计约 1300 行，包括马尔可夫决策过程定义文档、实验结果报告、实测数据与模型验证文档、以及项目状态总结文档。项目现有脚本 30 个（语法检查全部通过）、图表 41 张，环境自检的 6 类检查全部通过。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（二）取得的关键成果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第一，在舒适度指标上显著优于规则控制。在无分时电价场景下，本方法的舒适度不达标率由规则控制的 21.57% 降低至 11.73%，降幅为 45.6%。代价是能耗比规则控制高约 11.8%。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第二，在控制平稳性上显著优于规则控制。本方法的设备日均切换次数由规则控制的 24.6 次降至 7.4 次，降幅为 70.0%，且几乎没有额外代价；温度偏差均方根误差由 0.735 降至 0.055，降幅为 92.5%。设备启停次数减少有利于延长设备寿命。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第三，相对恒温运行实现节能。本方法的日均能耗由恒温运行的5.328 千瓦时降至 4.472 千瓦时，节能量为 16.1%，而两者舒适度基本持平。需要说明的是，恒温运行属于较弱基线，该结论主要用于说明本方法相对理想恒温控制的改进幅度。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第四，循环网络带来明显改进。将策略网络由多层感知机替换为长短期记忆网络后，日电费由 3.650 元降至 3.060 元，降幅为 16.1%。经诊断，该改进来自总用电量的下降，而非分时段负荷转移的改善。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第五，显式储能带来显著效益。在环境中引入 4 千瓦时电池储能后，规则控制的日电费由 1.878 元降至约 1.213 至 1.357 元，降幅为 28% 至 35%；本方法的日电费由 2.321 元降至 1.782 元，降幅为 23.2%。同时谷段用电占比由约 47% 提升至 95% 以上，峰段用电接近为零，说明储能有效实现了用电时段的转移。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第六，本方法的可用工作区间更宽。在多种参数配置下，规则控制可达的最低舒适度不达标率落在 24% 至 29% 之间，而本方法可以降至 8% 至 19%，即本方法能够覆盖约 7 至 21 个百分点的、规则控制难以达到的低不达标率区间。这使得本方法可以支持“按用户偏好配置舒适度与能耗平衡”这一目标。需要说明的是，在两者都能达到的舒适度区间内，规则控制的电费更低。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第七，首次量化了规则控制方案的一项隐含成本。实验发现，当电价结构发生变化时，若规则控制不重新进行人工调参，日电费将由 1.713 元上升至 2.567 元，上升幅度为 49.8%。这项成本在此前的研究比较中从未被计入。在电价结构频繁变化的实际场景下，该成本会反复发生，构成学习型方法的潜在价值来源。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第八，工程与验证性成果。具体包括：环境自检的 6 类检查（接口正确性、观测合法性、动力学合理性、奖励合理性、约束有效性、指标产出）全部通过；数据标定链路经合成数据验证，参数反推误差为 0.2% 与 0.4%；马尔可夫性检验通过；约束机制之间的一致性得到修正，异常样本归零；评估口径完成统一（修正了早期同一策略给出 2.0 与 3.9 千瓦时两个矛盾值的问题）；建立了文档数据自动核对机制，当前全部实验数字核对通过，无一处不符。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（三）需要如实说明的方面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在“降低电费”这一优化目标上，本项目先后系统检验了 7 条技术路线，包括时间场景化权重、前视电价机制、循环网络、增加训练步数、显式储能建模、奖励权重重标定、以及电价结构变化适应。检验结果表明，本方法在上述所有情况下均未能超过人工规则控制，电费差距为 20% 至 132%。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根本原因已经定位：本方法的舒适度不达标率约为 11%，而规则控制约为 32% 至 37%，但本方法为此付出了 48% 至 71% 的额外能耗。也就是说，强化学习学到的是“高能耗的温度控制器”，而人工规则是“低能耗的成本最小化器”。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基于这一认识，项目将方法定位由“全面超越规则控制”调整为“舒适度优先的自适应控制方法”。本方法的价值体现在舒适度、控制平稳性、可用工作区间宽度，以及无需人工设计规则这几个方面，而不是在电费上占优。这一调整已在项目文档中如实记录，并给出了完整的实验数据支撑。</w:t>
      </w:r>
    </w:p>
    <w:p>
      <w:pPr>
        <w:spacing w:before="280" w:after="120" w:line="336" w:lineRule="auto"/>
      </w:pPr>
      <w:r>
        <w:rPr>
          <w:rFonts w:ascii="Times New Roman" w:hAnsi="Times New Roman" w:eastAsia="黑体"/>
          <w:b/>
          <w:sz w:val="26"/>
        </w:rPr>
        <w:t>二、项目存在的问题及解决方案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问题一：硬件采购到货延迟，实物验证环节滞后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问题描述：项目所需的开发板与 5 类传感器因物流原因尚未到货，导致“实物系统验证”与“实测数据采集”两个环节无法按期开展，硬件部分的进度明显落后于软件部分。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已采取的解决方案：第一，提前完成固件开发。在无硬件条件下完成了硬件验证程序与长时间数据采集程序的编写，两份程序均已编译通过，使硬件到货后可以立即烧录，显著缩短现场调试时间。第二，提前打通数据链路。开发了合成数据生成器，在无真实数据条件下验证了“采集—标定—参数”整条流程，标定精度达到 0.2% 与 0.4%，保证硬件到货后链路可以直接使用。第三，调整硬件端的定位。由于家庭使用的中央空调不具备程序控制接口（无红外遥控、无通讯接口），将硬件端定位由“闭环控制实验”调整为“感知链路验证与真实作息、热工参数采集”，控制策略的验证在仿真环境中完成。这一调整既符合实际条件，也保证了研究目标的完整性。第四，制定到货即用的操作清单，编写了接线表、烧录参数与采集流程，人工投入约 40 分钟，降低到货后的时间成本。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后续措施：持续跟踪物流进度；硬件到货后立即执行“验活—采集 3 天数据—参数标定”流程，并同步人工记录空调使用时段，用于后续模型标定。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问题二：强化学习在电费指标上未能超过人工规则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问题描述：项目原定目标之一是“利用强化学习实现自适应控制并优于规则控制”。但实验结果表明，在分时电价场景下人工规则的电费显著更低，差距为 20% 至 132%。这是对项目预期的重大偏离，也是本项目遇到的最主要困难。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已采取的解决方案：第一，系统排查而非规避问题。依次检验了7 条可能的技术路线，每一条都给出了量化结论与失败原因分析，而不是选择性报告有利结果。第二，严格化比较口径。在分析过程中发现早期的比较存在口径缺陷，即在不同舒适度水平下直接比较电费，这会导致结论失真。为此构建了“等舒适度比较”与“帕累托前沿分析”两套更严格的评判方法，并通过多轮实验确认结论可靠。第三，定位根本原因。通过量化分析证实，本方法的能耗比规则控制高 48% 至 71%，这是电费劣势的直接来源，且该劣势无法通过调整参数、更换网络结构或增加储能来消除。第四，修正项目定位。将目标由“全面超越规则控制”调整为“多维度性能权衡与能力边界刻画”，明确本方法的价值在于舒适度、控制平稳性、工作区间宽度，以及无需人工设计规则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取得的认识：该结果本身具有方法学价值。它界定了强化学习方法的适用边界——在“电价结构已知且固定、最优策略可以被简单规则刻画”的场景下，人工规则难以被超越；而在“评价指标难以写成明确规则”的场景下，例如需要同时兼顾舒适度与控制平稳性时，学习方法具有明确优势。这一边界结论对同类研究具有参考意义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问题三：项目文档存在数据版本不一致的风险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问题描述：项目经历多个版本迭代，在中期自查过程中发现一处事实性错误。文档中“本方法在能耗上也优于规则控制”的表述源自早期版本的数据，而在后续版本中该结论已经反转（本方法能耗反而高 11.8%），但文档未能同步更新。这说明多版本迭代过程中存在数据一致性风险。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解决方案：第一，立即修正。核对原始评估数据后，修正了 3 份文档中的相关表述，并保留了修正记录。第二，建立自动核对机制。新增了数据一致性核对脚本，覆盖全部实验的关键数字与派生指标，可以随时复核。第三，核对结果。当前全部实验数字核对通过，无一处不符。这一机制将在结题阶段继续使用，以保证最终报告的数据准确。</w:t>
      </w:r>
    </w:p>
    <w:p>
      <w:pPr>
        <w:spacing w:before="280" w:after="120" w:line="336" w:lineRule="auto"/>
      </w:pPr>
      <w:r>
        <w:rPr>
          <w:rFonts w:ascii="Times New Roman" w:hAnsi="Times New Roman" w:eastAsia="黑体"/>
          <w:b/>
          <w:sz w:val="26"/>
        </w:rPr>
        <w:t>三、项目今后计划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第一，硬件到货后的验证工作。硬件到货后，首先烧录硬件验证程序，确认感知链路正常，具体包括芯片信息读取、I2C 总线扫描与各传感器读数校验，预计在硬件到货后 1 天内完成。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第二，实测数据采集。完成验活后，挂机采集 3 天的真实数据，内容包括温湿度、光照强度与人员占用状态，同时人工记录空调使用时段，预计在硬件到货后 1 周内完成。选择 3 天的原因是需要覆盖工作日与周末，以便区分不同星期的作息差异。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第三，仿真模型参数标定。利用采集到的真实数据，反推围护结构传热系数与房间等效热容，替换目前使用的估计值；同时统计真实的 7×24 小时人员占用概率分布，替换仿真中内置的“典型上班族”假设。预计在数据采集完成后 2 天内完成。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第四，用标定后的模型重新评估全部策略。将真实作息分布写入仿真配置后，对全部对照策略重新评估，输出最终的实验结论，预计在 10 至 15 天内完成。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第五，结题材料整理。整理全部实验成果，撰写结题报告；准备答辩材料，包括问题定位演进图、实验结论速览、马尔可夫决策过程建模框图等。预计在结题前 2 周完成报告撰写，结题前 1 周完成答辩材料。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第六，可选扩展。在时间允许的情况下，计划将仿真环境扩展至多房间与多设备耦合场景，检验本方法在高维耦合决策问题上的表现。该部分为可选内容，视实际进度安排。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总体说明：核心实验已经完成，后续工作的重点是实测数据接入与模型标定，以及成果整理与结题材料撰写。软件部分不再新增大规模实验，以保证项目按期结题。</w:t>
      </w:r>
    </w:p>
    <w:p>
      <w:pPr>
        <w:spacing w:before="280" w:after="120" w:line="336" w:lineRule="auto"/>
      </w:pPr>
      <w:r>
        <w:rPr>
          <w:rFonts w:ascii="Times New Roman" w:hAnsi="Times New Roman" w:eastAsia="黑体"/>
          <w:b/>
          <w:sz w:val="26"/>
        </w:rPr>
        <w:t>四、经费使用情况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本项目总预算为 1000 元。截至中期，已支出 212.54 元，剩余 787.46 元，经费执行率为 21.3%，整体支出节奏稳健，剩余经费充足。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（一）已支出明细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第一项支出为硬件采购，金额 142.54 元。具体包括：ESP32-S3-N16R8 开发板一块；SHT31 温湿度传感器（串口版）一个；BH1750 光照传感器一个；HC-SR501 人体活动传感器两个；LD2410C 毫米波雷达人体存在传感器一个；以及 830 孔面包板套件一套（含杜邦线与电源模块）。硬件部分在选型时以国产替代与模块化方案控制成本，全部器件均选取免焊接的成品模块，实际支出仅占项目总预算的 14.3%。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第二项支出为 API 调用费用，金额 70 元。该费用用于项目全周期的大模型调用，具体包括环境建模、算法实现、实验脚本开发、实验结果分析与文档撰写等工作。这是本项目的主要智力成本项。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以上两项合计支出 212.54 元。</w:t>
      </w:r>
    </w:p>
    <w:p>
      <w:pPr>
        <w:spacing w:before="200" w:after="120" w:line="336" w:lineRule="auto"/>
      </w:pPr>
      <w:r>
        <w:rPr>
          <w:rFonts w:ascii="Times New Roman" w:hAnsi="Times New Roman" w:eastAsia="黑体"/>
          <w:b/>
          <w:sz w:val="23"/>
        </w:rPr>
        <w:t>（二）剩余经费安排计划</w:t>
      </w:r>
    </w:p>
    <w:p>
      <w:pPr>
        <w:spacing w:after="120" w:line="360" w:lineRule="auto"/>
        <w:ind w:left="0" w:right="0" w:firstLine="420"/>
      </w:pPr>
      <w:r>
        <w:rPr>
          <w:rFonts w:ascii="Times New Roman" w:hAnsi="Times New Roman" w:eastAsia="宋体"/>
          <w:b w:val="0"/>
          <w:sz w:val="21"/>
        </w:rPr>
        <w:t>剩余经费为 787.46 元，计划按以下四个方面安排使用。第一，API 调用费用预留 300 元，用于后续的实测数据标定、最终实验复核、结题报告撰写与答辩材料准备工作。第二，硬件补充预留 200 元，若现有传感器的测量精度不足，计划补充高精度温湿度记录仪用于数据校准比对，或用于补充备件。第三，成果制作预留 150 元，用于结题报告的印制以及答辩海报或展板的制作。第四，机动预留 137.46 元，用于应对不可预见支出，例如器件损坏后的补购或额外的数据采集需求。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