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基于强化学习与多目标优化的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智能家居自适应决策系统</w:t>
      </w:r>
    </w:p>
    <w:p>
      <w:pPr>
        <w:spacing w:after="360"/>
        <w:jc w:val="center"/>
      </w:pPr>
      <w:r>
        <w:rPr>
          <w:rFonts w:ascii="Times New Roman" w:hAnsi="Times New Roman" w:eastAsia="黑体"/>
          <w:b/>
          <w:sz w:val="24"/>
        </w:rPr>
        <w:t>中 期 报 告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6"/>
        </w:rPr>
        <w:t>一、项目进展情况小结</w:t>
      </w:r>
    </w:p>
    <w:p>
      <w:pPr>
        <w:spacing w:after="12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本项目按“环境感知 → 数据建模（MDP）→ 智能决策（强化学习）→ 系统验证”的技术路线推进。目前软件部分已全部完成并超额推进，硬件部分完成选型采购、等待到货。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3"/>
        </w:rPr>
        <w:t>（一）已完成工作</w:t>
      </w:r>
    </w:p>
    <w:tbl>
      <w:tblPr>
        <w:tblStyle w:val="TableGrid"/>
        <w:tblW w:type="dxa" w:w="795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140" w:type="dxa"/>
        </w:tblCellMar>
      </w:tblPr>
      <w:tblGrid>
        <w:gridCol w:w="1351"/>
        <w:gridCol w:w="6600"/>
      </w:tblGrid>
      <w:tr>
        <w:tc>
          <w:tcPr>
            <w:tcW w:w="1351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类别</w:t>
            </w:r>
          </w:p>
        </w:tc>
        <w:tc>
          <w:tcPr>
            <w:tcW w:w="66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完成内容</w:t>
            </w:r>
          </w:p>
        </w:tc>
      </w:tr>
      <w:tr>
        <w:tc>
          <w:tcPr>
            <w:tcW w:w="135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问题建模</w:t>
            </w:r>
          </w:p>
        </w:tc>
        <w:tc>
          <w:tcPr>
            <w:tcW w:w="660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将家庭环境控制形式化为马尔可夫决策过程（MDP）：</w:t>
              <w:br/>
              <w:t>状态 25 维、动作 36 个，奖励含舒适度／能耗／切换惩罚；</w:t>
              <w:br/>
              <w:t>并完成马尔可夫性检验</w:t>
            </w:r>
          </w:p>
        </w:tc>
      </w:tr>
      <w:tr>
        <w:tc>
          <w:tcPr>
            <w:tcW w:w="135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仿真平台</w:t>
            </w:r>
          </w:p>
        </w:tc>
        <w:tc>
          <w:tcPr>
            <w:tcW w:w="660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自建仿真平台（热力学、湿度、光照、人员占用四类模型）；</w:t>
              <w:br/>
              <w:t>含约束机制（最小切换间隔、无人自动关机）与统一评估口径</w:t>
            </w:r>
          </w:p>
        </w:tc>
      </w:tr>
      <w:tr>
        <w:tc>
          <w:tcPr>
            <w:tcW w:w="135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算法实现</w:t>
            </w:r>
          </w:p>
        </w:tc>
        <w:tc>
          <w:tcPr>
            <w:tcW w:w="660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PPO 强化学习控制策略；</w:t>
              <w:br/>
              <w:t>另实现循环网络（RecurrentPPO）与显式储能（电池）建模</w:t>
            </w:r>
          </w:p>
        </w:tc>
      </w:tr>
      <w:tr>
        <w:tc>
          <w:tcPr>
            <w:tcW w:w="135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实验体系</w:t>
            </w:r>
          </w:p>
        </w:tc>
        <w:tc>
          <w:tcPr>
            <w:tcW w:w="660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完成 8 组系统实验：主实验、等舒适度比较、分时电价、消融（多种子）、</w:t>
              <w:br/>
              <w:t>参数敏感性、循环网络、储能、电价变化适应</w:t>
            </w:r>
          </w:p>
        </w:tc>
      </w:tr>
      <w:tr>
        <w:tc>
          <w:tcPr>
            <w:tcW w:w="135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对比基线</w:t>
            </w:r>
          </w:p>
        </w:tc>
        <w:tc>
          <w:tcPr>
            <w:tcW w:w="660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构建 5 类对照策略：恒温运行、全关、定温规则、分时电价规则、规则＋储能</w:t>
            </w:r>
          </w:p>
        </w:tc>
      </w:tr>
      <w:tr>
        <w:tc>
          <w:tcPr>
            <w:tcW w:w="135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硬件准备</w:t>
            </w:r>
          </w:p>
        </w:tc>
        <w:tc>
          <w:tcPr>
            <w:tcW w:w="660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完成器件选型与采购；</w:t>
              <w:br/>
              <w:t>验证固件与采集固件已编写并编译通过（含 NTP 对时）</w:t>
            </w:r>
          </w:p>
        </w:tc>
      </w:tr>
      <w:tr>
        <w:tc>
          <w:tcPr>
            <w:tcW w:w="135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数据链路</w:t>
            </w:r>
          </w:p>
        </w:tc>
        <w:tc>
          <w:tcPr>
            <w:tcW w:w="660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完成采集脚本、标定脚本（反推热工参数）、合成数据生成器；</w:t>
              <w:br/>
              <w:t>标定链路经验证，参数反推误差 0.2%／0.4%</w:t>
            </w:r>
          </w:p>
        </w:tc>
      </w:tr>
      <w:tr>
        <w:tc>
          <w:tcPr>
            <w:tcW w:w="135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文档</w:t>
            </w:r>
          </w:p>
        </w:tc>
        <w:tc>
          <w:tcPr>
            <w:tcW w:w="660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 份文档共约 1300 行：MDP 定义、实验结果报告、实测数据与模型验证、状态总结</w:t>
            </w:r>
          </w:p>
        </w:tc>
      </w:tr>
      <w:tr>
        <w:tc>
          <w:tcPr>
            <w:tcW w:w="135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工程规模</w:t>
            </w:r>
          </w:p>
        </w:tc>
        <w:tc>
          <w:tcPr>
            <w:tcW w:w="660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 个脚本、41 张图表、环境自检 6 类检查全部通过</w:t>
            </w:r>
          </w:p>
        </w:tc>
      </w:tr>
    </w:tbl>
    <w:p>
      <w:pPr>
        <w:spacing w:after="80" w:line="336" w:lineRule="auto"/>
        <w:ind w:left="0" w:right="0"/>
      </w:pP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3"/>
        </w:rPr>
        <w:t>（二）关键阶段性成果（量化）</w:t>
      </w:r>
    </w:p>
    <w:p>
      <w:pPr>
        <w:spacing w:after="80" w:line="336" w:lineRule="auto"/>
        <w:ind w:left="0" w:right="0"/>
      </w:pPr>
      <w:r>
        <w:rPr>
          <w:rFonts w:ascii="Times New Roman" w:hAnsi="Times New Roman" w:eastAsia="宋体"/>
          <w:b/>
          <w:sz w:val="21"/>
        </w:rPr>
        <w:t>1. 相对规则控制的正向结果</w:t>
      </w:r>
    </w:p>
    <w:tbl>
      <w:tblPr>
        <w:tblStyle w:val="TableGrid"/>
        <w:tblW w:type="dxa" w:w="795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140" w:type="dxa"/>
        </w:tblCellMar>
      </w:tblPr>
      <w:tblGrid>
        <w:gridCol w:w="3180"/>
        <w:gridCol w:w="4771"/>
      </w:tblGrid>
      <w:tr>
        <w:tc>
          <w:tcPr>
            <w:tcW w:w="318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结论</w:t>
            </w:r>
          </w:p>
        </w:tc>
        <w:tc>
          <w:tcPr>
            <w:tcW w:w="4771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实测数据</w:t>
            </w:r>
          </w:p>
        </w:tc>
      </w:tr>
      <w:tr>
        <w:tc>
          <w:tcPr>
            <w:tcW w:w="318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舒适度不达标率显著更低</w:t>
            </w:r>
          </w:p>
        </w:tc>
        <w:tc>
          <w:tcPr>
            <w:tcW w:w="477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21.57% → 11.73%（降低 45.6%）</w:t>
            </w:r>
          </w:p>
        </w:tc>
      </w:tr>
      <w:tr>
        <w:tc>
          <w:tcPr>
            <w:tcW w:w="318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设备切换次数显著更少</w:t>
            </w:r>
          </w:p>
        </w:tc>
        <w:tc>
          <w:tcPr>
            <w:tcW w:w="477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24.6 → 7.4 次/天（降低 70.0%，几乎无代价）</w:t>
            </w:r>
          </w:p>
        </w:tc>
      </w:tr>
      <w:tr>
        <w:tc>
          <w:tcPr>
            <w:tcW w:w="318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温度控制精度显著更高</w:t>
            </w:r>
          </w:p>
        </w:tc>
        <w:tc>
          <w:tcPr>
            <w:tcW w:w="477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RMSE 0.735 → 0.055（降低 92.5%）</w:t>
            </w:r>
          </w:p>
        </w:tc>
      </w:tr>
      <w:tr>
        <w:tc>
          <w:tcPr>
            <w:tcW w:w="318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相对恒温运行节能</w:t>
            </w:r>
          </w:p>
        </w:tc>
        <w:tc>
          <w:tcPr>
            <w:tcW w:w="477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16.1%（舒适度基本持平）</w:t>
            </w:r>
          </w:p>
        </w:tc>
      </w:tr>
      <w:tr>
        <w:tc>
          <w:tcPr>
            <w:tcW w:w="318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循环网络（LSTM）降低电费</w:t>
            </w:r>
          </w:p>
        </w:tc>
        <w:tc>
          <w:tcPr>
            <w:tcW w:w="477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16.1%</w:t>
            </w:r>
          </w:p>
        </w:tc>
      </w:tr>
      <w:tr>
        <w:tc>
          <w:tcPr>
            <w:tcW w:w="318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显式储能降低电费</w:t>
            </w:r>
          </w:p>
        </w:tc>
        <w:tc>
          <w:tcPr>
            <w:tcW w:w="477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28%～35%（谷段用电占比提升至 95% 以上）</w:t>
            </w:r>
          </w:p>
        </w:tc>
      </w:tr>
      <w:tr>
        <w:tc>
          <w:tcPr>
            <w:tcW w:w="318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工作区间更宽</w:t>
            </w:r>
          </w:p>
        </w:tc>
        <w:tc>
          <w:tcPr>
            <w:tcW w:w="477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规则最低不达标率 24%～29%，本方法可达 8%～19%</w:t>
            </w:r>
          </w:p>
        </w:tc>
      </w:tr>
      <w:tr>
        <w:tc>
          <w:tcPr>
            <w:tcW w:w="318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首次量化规则的隐含适应成本</w:t>
            </w:r>
          </w:p>
        </w:tc>
        <w:tc>
          <w:tcPr>
            <w:tcW w:w="477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电价变化后规则不重新调参，电费上升 49.8%</w:t>
            </w:r>
          </w:p>
        </w:tc>
      </w:tr>
    </w:tbl>
    <w:p>
      <w:pPr>
        <w:spacing w:after="80" w:line="336" w:lineRule="auto"/>
        <w:ind w:left="0" w:right="0"/>
      </w:pPr>
    </w:p>
    <w:p>
      <w:pPr>
        <w:spacing w:after="80" w:line="336" w:lineRule="auto"/>
        <w:ind w:left="0" w:right="0"/>
      </w:pPr>
      <w:r>
        <w:rPr>
          <w:rFonts w:ascii="Times New Roman" w:hAnsi="Times New Roman" w:eastAsia="宋体"/>
          <w:b/>
          <w:sz w:val="21"/>
        </w:rPr>
        <w:t>2. 待改进方面（已如实记录并完成归因）</w:t>
      </w:r>
    </w:p>
    <w:p>
      <w:pPr>
        <w:spacing w:after="12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在电费这一优化目标上，经过 7 条技术路线（场景化权重、前视电价、循环网络、增加训练步数、显式储能、奖励权重重标定、电价变化适应）的系统检验，本方法始终未能超过人工规则，电费差距为 20%～132%。</w:t>
      </w:r>
    </w:p>
    <w:p>
      <w:pPr>
        <w:spacing w:after="12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根本原因已定位：本方法的不达标率约 11%（规则约 32%～37%），但为此付出 48%～71% 的额外能耗。即强化学习学到的是“高能耗的温度控制器”，而人工规则是“低能耗的成本最小化器”。这界定了方法的适用边界——本方法定位为“舒适度优先”的方法，而非“电费优先”的方法。</w:t>
      </w:r>
    </w:p>
    <w:p>
      <w:r>
        <w:br w:type="page"/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6"/>
        </w:rPr>
        <w:t>二、项目存在的问题及解决方案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3"/>
        </w:rPr>
        <w:t>问题 1：硬件采购到货延迟，实物验证环节滞后</w:t>
      </w:r>
    </w:p>
    <w:p>
      <w:pPr>
        <w:spacing w:after="40" w:line="336" w:lineRule="auto"/>
        <w:ind w:left="0" w:right="0"/>
      </w:pPr>
      <w:r>
        <w:rPr>
          <w:rFonts w:ascii="Times New Roman" w:hAnsi="Times New Roman" w:eastAsia="宋体"/>
          <w:b/>
          <w:sz w:val="21"/>
        </w:rPr>
        <w:t>【问题描述】</w:t>
      </w:r>
    </w:p>
    <w:p>
      <w:pPr>
        <w:spacing w:after="12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项目所需的 ESP32-S3 开发板与 5 类传感器因物流原因尚未到货，导致“实物系统验证”与“实测数据采集”两个环节无法按期开展。</w:t>
      </w:r>
    </w:p>
    <w:p>
      <w:pPr>
        <w:spacing w:after="40" w:line="336" w:lineRule="auto"/>
        <w:ind w:left="0" w:right="0"/>
      </w:pPr>
      <w:r>
        <w:rPr>
          <w:rFonts w:ascii="Times New Roman" w:hAnsi="Times New Roman" w:eastAsia="宋体"/>
          <w:b/>
          <w:sz w:val="21"/>
        </w:rPr>
        <w:t>【已采取的解决方案】</w:t>
      </w:r>
    </w:p>
    <w:p>
      <w:pPr>
        <w:spacing w:after="6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· 提前完成固件开发：在无硬件条件下完成两份固件编写并编译通过（硬件验活程序、长时间采集程序），使硬件到货后可立即烧录，缩短现场调试时间；</w:t>
      </w:r>
    </w:p>
    <w:p>
      <w:pPr>
        <w:spacing w:after="6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· 提前打通数据链路：开发合成数据生成器，在无真实数据条件下验证了“采集 → 标定 → 参数”整条链路，标定精度达 0.2%/0.4%；</w:t>
      </w:r>
    </w:p>
    <w:p>
      <w:pPr>
        <w:spacing w:after="6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· 调整硬件定位：因家庭中央空调不具备程序控制接口（无红外、无通讯），将硬件端定位由“闭环控制实验”调整为“感知链路验证 + 真实作息与热工参数采集”，控制策略的验证在仿真环境中完成；</w:t>
      </w:r>
    </w:p>
    <w:p>
      <w:pPr>
        <w:spacing w:after="6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· 制定到货即用的操作清单：编写接线表、烧录参数、采集流程（人工投入约 40 分钟），降低到货后的时间成本。</w:t>
      </w:r>
    </w:p>
    <w:p>
      <w:pPr>
        <w:spacing w:after="40" w:line="336" w:lineRule="auto"/>
        <w:ind w:left="0" w:right="0"/>
      </w:pPr>
      <w:r>
        <w:rPr>
          <w:rFonts w:ascii="Times New Roman" w:hAnsi="Times New Roman" w:eastAsia="宋体"/>
          <w:b/>
          <w:sz w:val="21"/>
        </w:rPr>
        <w:t>【后续措施】</w:t>
      </w:r>
    </w:p>
    <w:p>
      <w:pPr>
        <w:spacing w:after="12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持续跟踪物流；到货后立即执行验活 → 采集 3 天 → 参数标定流程。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3"/>
        </w:rPr>
        <w:t>问题 2：强化学习在电费维度上未能超过人工规则</w:t>
      </w:r>
    </w:p>
    <w:p>
      <w:pPr>
        <w:spacing w:after="40" w:line="336" w:lineRule="auto"/>
        <w:ind w:left="0" w:right="0"/>
      </w:pPr>
      <w:r>
        <w:rPr>
          <w:rFonts w:ascii="Times New Roman" w:hAnsi="Times New Roman" w:eastAsia="宋体"/>
          <w:b/>
          <w:sz w:val="21"/>
        </w:rPr>
        <w:t>【问题描述】</w:t>
      </w:r>
    </w:p>
    <w:p>
      <w:pPr>
        <w:spacing w:after="12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项目原定目标之一是“利用强化学习实现自适应控制并优于规则控制”。实验表明，在分时电价场景下人工规则的电费显著更低（低 20%～132%）。这是对项目预期的重大偏离。</w:t>
      </w:r>
    </w:p>
    <w:p>
      <w:pPr>
        <w:spacing w:after="40" w:line="336" w:lineRule="auto"/>
        <w:ind w:left="0" w:right="0"/>
      </w:pPr>
      <w:r>
        <w:rPr>
          <w:rFonts w:ascii="Times New Roman" w:hAnsi="Times New Roman" w:eastAsia="宋体"/>
          <w:b/>
          <w:sz w:val="21"/>
        </w:rPr>
        <w:t>【已采取的解决方案】</w:t>
      </w:r>
    </w:p>
    <w:p>
      <w:pPr>
        <w:spacing w:after="6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· 系统排查而非规避：依次检验了 7 条可能的技术路线，全部给出量化结论与失败归因，而非选择性报告；</w:t>
      </w:r>
    </w:p>
    <w:p>
      <w:pPr>
        <w:spacing w:after="6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· 严格化比较口径：发现并修正了早期比较中的口径缺陷（不同舒适度水平直接比较电费），构建了“等舒适度比较”与“帕累托前沿分析”两套更严格的评判方法，确保结论可靠；</w:t>
      </w:r>
    </w:p>
    <w:p>
      <w:pPr>
        <w:spacing w:after="6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· 定位根本原因：量化证实本方法的能耗比规则高 48%～71%，这是电费劣势的直接来源，且该劣势无法通过调参、换网络、加储能消除；</w:t>
      </w:r>
    </w:p>
    <w:p>
      <w:pPr>
        <w:spacing w:after="6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· 修正项目定位：将目标由“全面超越规则”调整为“多维度性能权衡与能力边界刻画”——本方法的价值在于舒适度、控制平稳性、工作区间宽度，以及无需人工设计规则。</w:t>
      </w:r>
    </w:p>
    <w:p>
      <w:pPr>
        <w:spacing w:after="40" w:line="336" w:lineRule="auto"/>
        <w:ind w:left="0" w:right="0"/>
      </w:pPr>
      <w:r>
        <w:rPr>
          <w:rFonts w:ascii="Times New Roman" w:hAnsi="Times New Roman" w:eastAsia="宋体"/>
          <w:b/>
          <w:sz w:val="21"/>
        </w:rPr>
        <w:t>【取得的认识】</w:t>
      </w:r>
    </w:p>
    <w:p>
      <w:pPr>
        <w:spacing w:after="12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该结果本身具有方法学价值，它界定了强化学习的适用边界——在“电价结构已知且固定、最优策略可被简单规则刻画”的场景下，人工规则难以被超越；而在“评价指标难以写成明确规则”的场景下（如兼顾舒适度与控制平稳性），学习方法有明确优势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3"/>
        </w:rPr>
        <w:t>问题 3：文档数据存在版本不一致风险</w:t>
      </w:r>
    </w:p>
    <w:p>
      <w:pPr>
        <w:spacing w:after="40" w:line="336" w:lineRule="auto"/>
        <w:ind w:left="0" w:right="0"/>
      </w:pPr>
      <w:r>
        <w:rPr>
          <w:rFonts w:ascii="Times New Roman" w:hAnsi="Times New Roman" w:eastAsia="宋体"/>
          <w:b/>
          <w:sz w:val="21"/>
        </w:rPr>
        <w:t>【问题描述】</w:t>
      </w:r>
    </w:p>
    <w:p>
      <w:pPr>
        <w:spacing w:after="12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项目经历多个版本迭代（v1～v5），在自查中发现一处事实性错误：文档中“PPO 在能耗上也优于规则控制”的表述源自早期版本数据，而后续版本中该结论已反转（PPO 能耗高 11.8%），文档未同步更新。</w:t>
      </w:r>
    </w:p>
    <w:p>
      <w:pPr>
        <w:spacing w:after="40" w:line="336" w:lineRule="auto"/>
        <w:ind w:left="0" w:right="0"/>
      </w:pPr>
      <w:r>
        <w:rPr>
          <w:rFonts w:ascii="Times New Roman" w:hAnsi="Times New Roman" w:eastAsia="宋体"/>
          <w:b/>
          <w:sz w:val="21"/>
        </w:rPr>
        <w:t>【解决方案】</w:t>
      </w:r>
    </w:p>
    <w:p>
      <w:pPr>
        <w:spacing w:after="6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· 立即修正：核实原始评估数据后，修正了 3 份文档中的相关表述；</w:t>
      </w:r>
    </w:p>
    <w:p>
      <w:pPr>
        <w:spacing w:after="6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· 建立自动核对机制：新增数据一致性核对脚本，覆盖全部实验的关键数字与派生指标，可随时复核；</w:t>
      </w:r>
    </w:p>
    <w:p>
      <w:pPr>
        <w:spacing w:after="6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· 核对结果：当前全部实验数字核对通过，0 处不符。</w:t>
      </w:r>
    </w:p>
    <w:p>
      <w:r>
        <w:br w:type="page"/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6"/>
        </w:rPr>
        <w:t>三、项目今后计划</w:t>
      </w:r>
    </w:p>
    <w:tbl>
      <w:tblPr>
        <w:tblStyle w:val="TableGrid"/>
        <w:tblW w:type="dxa" w:w="795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140" w:type="dxa"/>
        </w:tblCellMar>
      </w:tblPr>
      <w:tblGrid>
        <w:gridCol w:w="1060"/>
        <w:gridCol w:w="5301"/>
        <w:gridCol w:w="1590"/>
      </w:tblGrid>
      <w:tr>
        <w:tc>
          <w:tcPr>
            <w:tcW w:w="106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阶段</w:t>
            </w:r>
          </w:p>
        </w:tc>
        <w:tc>
          <w:tcPr>
            <w:tcW w:w="5301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任务</w:t>
            </w:r>
          </w:p>
        </w:tc>
        <w:tc>
          <w:tcPr>
            <w:tcW w:w="159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预计完成</w:t>
            </w:r>
          </w:p>
        </w:tc>
      </w:tr>
      <w:tr>
        <w:tc>
          <w:tcPr>
            <w:tcW w:w="106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近期</w:t>
            </w:r>
          </w:p>
        </w:tc>
        <w:tc>
          <w:tcPr>
            <w:tcW w:w="530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硬件到货后烧录验活固件，确认感知链路（I2C 扫描、传感器读数）</w:t>
            </w:r>
          </w:p>
        </w:tc>
        <w:tc>
          <w:tcPr>
            <w:tcW w:w="159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硬件到货后 1 天内</w:t>
            </w:r>
          </w:p>
        </w:tc>
      </w:tr>
      <w:tr>
        <w:tc>
          <w:tcPr>
            <w:tcW w:w="106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530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挂机采集 3 天真实数据（温湿度/光照/人员占用），同步人工记录空调使用时段</w:t>
            </w:r>
          </w:p>
        </w:tc>
        <w:tc>
          <w:tcPr>
            <w:tcW w:w="159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到货后 1 周内</w:t>
            </w:r>
          </w:p>
        </w:tc>
      </w:tr>
      <w:tr>
        <w:tc>
          <w:tcPr>
            <w:tcW w:w="106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530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用实测数据标定仿真模型参数（反推围护结构传热系数 UA 与热容 C），替换现有估计值</w:t>
            </w:r>
          </w:p>
        </w:tc>
        <w:tc>
          <w:tcPr>
            <w:tcW w:w="159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采集完成后 2 天内</w:t>
            </w:r>
          </w:p>
        </w:tc>
      </w:tr>
      <w:tr>
        <w:tc>
          <w:tcPr>
            <w:tcW w:w="106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中期</w:t>
            </w:r>
          </w:p>
        </w:tc>
        <w:tc>
          <w:tcPr>
            <w:tcW w:w="530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将真实作息分布写入仿真配置，替换内置的“典型上班族”假设</w:t>
            </w:r>
          </w:p>
        </w:tc>
        <w:tc>
          <w:tcPr>
            <w:tcW w:w="159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 天内</w:t>
            </w:r>
          </w:p>
        </w:tc>
      </w:tr>
      <w:tr>
        <w:tc>
          <w:tcPr>
            <w:tcW w:w="106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530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用标定后的模型重新评估全部策略，输出最终实验结论</w:t>
            </w:r>
          </w:p>
        </w:tc>
        <w:tc>
          <w:tcPr>
            <w:tcW w:w="159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 天内</w:t>
            </w:r>
          </w:p>
        </w:tc>
      </w:tr>
      <w:tr>
        <w:tc>
          <w:tcPr>
            <w:tcW w:w="106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后期</w:t>
            </w:r>
          </w:p>
        </w:tc>
        <w:tc>
          <w:tcPr>
            <w:tcW w:w="530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整理全部实验成果，撰写结题报告</w:t>
            </w:r>
          </w:p>
        </w:tc>
        <w:tc>
          <w:tcPr>
            <w:tcW w:w="159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结题前 2 周</w:t>
            </w:r>
          </w:p>
        </w:tc>
      </w:tr>
      <w:tr>
        <w:tc>
          <w:tcPr>
            <w:tcW w:w="106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530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准备答辩材料（含问题定位演进图、实验结论速览、MDP 建模框图）</w:t>
            </w:r>
          </w:p>
        </w:tc>
        <w:tc>
          <w:tcPr>
            <w:tcW w:w="159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结题前 1 周</w:t>
            </w:r>
          </w:p>
        </w:tc>
      </w:tr>
      <w:tr>
        <w:tc>
          <w:tcPr>
            <w:tcW w:w="106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可选扩展</w:t>
            </w:r>
          </w:p>
        </w:tc>
        <w:tc>
          <w:tcPr>
            <w:tcW w:w="5301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扩展至多房间/多设备耦合场景，检验本方法在高维耦合决策下的表现</w:t>
            </w:r>
          </w:p>
        </w:tc>
        <w:tc>
          <w:tcPr>
            <w:tcW w:w="1590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视进度安排</w:t>
            </w:r>
          </w:p>
        </w:tc>
      </w:tr>
    </w:tbl>
    <w:p>
      <w:pPr>
        <w:spacing w:after="80" w:line="336" w:lineRule="auto"/>
        <w:ind w:left="0" w:right="0"/>
      </w:pPr>
    </w:p>
    <w:p>
      <w:pPr>
        <w:spacing w:after="12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说明：核心实验已完成，后续重点是实测数据接入与模型标定，以及成果整理与结题材料撰写。软件部分不再新增大规模实验，以保证按期结题。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6"/>
        </w:rPr>
        <w:t>四、经费使用情况</w:t>
      </w:r>
    </w:p>
    <w:p>
      <w:pPr>
        <w:spacing w:after="12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项目总预算：1000 元。截至中期，已支出 212.54 元，剩余 787.46 元。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3"/>
        </w:rPr>
        <w:t>（一）已支出明细</w:t>
      </w:r>
    </w:p>
    <w:tbl>
      <w:tblPr>
        <w:tblStyle w:val="TableGrid"/>
        <w:tblW w:type="dxa" w:w="795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140" w:type="dxa"/>
        </w:tblCellMar>
      </w:tblPr>
      <w:tblGrid>
        <w:gridCol w:w="742"/>
        <w:gridCol w:w="1272"/>
        <w:gridCol w:w="4559"/>
        <w:gridCol w:w="1378"/>
      </w:tblGrid>
      <w:tr>
        <w:tc>
          <w:tcPr>
            <w:tcW w:w="742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1272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w="4559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内容</w:t>
            </w:r>
          </w:p>
        </w:tc>
        <w:tc>
          <w:tcPr>
            <w:tcW w:w="1378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金额（元）</w:t>
            </w:r>
          </w:p>
        </w:tc>
      </w:tr>
      <w:tr>
        <w:tc>
          <w:tcPr>
            <w:tcW w:w="74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w="127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硬件采购</w:t>
            </w:r>
          </w:p>
        </w:tc>
        <w:tc>
          <w:tcPr>
            <w:tcW w:w="4559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ESP32-S3-N16R8 开发板 ×1</w:t>
            </w:r>
          </w:p>
        </w:tc>
        <w:tc>
          <w:tcPr>
            <w:tcW w:w="1378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w="74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127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4559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SHT31 温湿度传感器（串口版）×1</w:t>
            </w:r>
          </w:p>
        </w:tc>
        <w:tc>
          <w:tcPr>
            <w:tcW w:w="1378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w="74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127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4559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BH1750/GY-302 光照传感器 ×1</w:t>
            </w:r>
          </w:p>
        </w:tc>
        <w:tc>
          <w:tcPr>
            <w:tcW w:w="1378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w="74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127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4559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HC-SR501 PIR 人体活动传感器 ×2</w:t>
            </w:r>
          </w:p>
        </w:tc>
        <w:tc>
          <w:tcPr>
            <w:tcW w:w="1378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w="74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127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4559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LD2410C 毫米波雷达人体存在传感器 ×1</w:t>
            </w:r>
          </w:p>
        </w:tc>
        <w:tc>
          <w:tcPr>
            <w:tcW w:w="1378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w="74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127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4559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830 孔面包板套件（含杜邦线、电源模块）×1</w:t>
            </w:r>
          </w:p>
        </w:tc>
        <w:tc>
          <w:tcPr>
            <w:tcW w:w="1378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  <w:tr>
        <w:tc>
          <w:tcPr>
            <w:tcW w:w="74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127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4559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硬件小计</w:t>
            </w:r>
          </w:p>
        </w:tc>
        <w:tc>
          <w:tcPr>
            <w:tcW w:w="1378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142.54</w:t>
            </w:r>
          </w:p>
        </w:tc>
      </w:tr>
      <w:tr>
        <w:tc>
          <w:tcPr>
            <w:tcW w:w="74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w="127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API 调用</w:t>
            </w:r>
          </w:p>
        </w:tc>
        <w:tc>
          <w:tcPr>
            <w:tcW w:w="4559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大模型 API 调用费用（用于环境建模、算法实现、实验脚本开发、结果分析与文档撰写）</w:t>
            </w:r>
          </w:p>
        </w:tc>
        <w:tc>
          <w:tcPr>
            <w:tcW w:w="1378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70.00</w:t>
            </w:r>
          </w:p>
        </w:tc>
      </w:tr>
      <w:tr>
        <w:tc>
          <w:tcPr>
            <w:tcW w:w="74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127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合计</w:t>
            </w:r>
          </w:p>
        </w:tc>
        <w:tc>
          <w:tcPr>
            <w:tcW w:w="4559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1378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212.54</w:t>
            </w:r>
          </w:p>
        </w:tc>
      </w:tr>
    </w:tbl>
    <w:p>
      <w:pPr>
        <w:spacing w:after="80" w:line="336" w:lineRule="auto"/>
        <w:ind w:left="0" w:right="0"/>
      </w:pPr>
    </w:p>
    <w:p>
      <w:pPr>
        <w:spacing w:after="12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经费使用说明：硬件部分以国产替代与模块化方案控制成本（全部选取免焊接的成品模块），实际支出 142.54 元，仅占预算的 14.3%；API 调用费用 70 元，用于项目全周期的开发与实验工作，是本项目的主要智力成本项。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3"/>
        </w:rPr>
        <w:t>（二）剩余经费安排计划</w:t>
      </w:r>
    </w:p>
    <w:p>
      <w:pPr>
        <w:spacing w:after="80" w:line="336" w:lineRule="auto"/>
        <w:ind w:left="0" w:right="0" w:firstLine="420"/>
      </w:pPr>
      <w:r>
        <w:rPr>
          <w:rFonts w:ascii="Times New Roman" w:hAnsi="Times New Roman" w:eastAsia="宋体"/>
          <w:b w:val="0"/>
          <w:sz w:val="21"/>
        </w:rPr>
        <w:t>剩余金额：787.46 元。</w:t>
      </w:r>
    </w:p>
    <w:tbl>
      <w:tblPr>
        <w:tblStyle w:val="TableGrid"/>
        <w:tblW w:type="dxa" w:w="795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140" w:type="dxa"/>
        </w:tblCellMar>
      </w:tblPr>
      <w:tblGrid>
        <w:gridCol w:w="848"/>
        <w:gridCol w:w="1696"/>
        <w:gridCol w:w="1272"/>
        <w:gridCol w:w="4135"/>
      </w:tblGrid>
      <w:tr>
        <w:tc>
          <w:tcPr>
            <w:tcW w:w="848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优先级</w:t>
            </w:r>
          </w:p>
        </w:tc>
        <w:tc>
          <w:tcPr>
            <w:tcW w:w="1696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  <w:tc>
          <w:tcPr>
            <w:tcW w:w="1272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预算（元）</w:t>
            </w:r>
          </w:p>
        </w:tc>
        <w:tc>
          <w:tcPr>
            <w:tcW w:w="4135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w="848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w="1696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API 调用费用预留</w:t>
            </w:r>
          </w:p>
        </w:tc>
        <w:tc>
          <w:tcPr>
            <w:tcW w:w="127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300.00</w:t>
            </w:r>
          </w:p>
        </w:tc>
        <w:tc>
          <w:tcPr>
            <w:tcW w:w="4135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用于后续实测数据标定、最终实验复核、结题报告与答辩材料撰写</w:t>
            </w:r>
          </w:p>
        </w:tc>
      </w:tr>
      <w:tr>
        <w:tc>
          <w:tcPr>
            <w:tcW w:w="848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w="1696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硬件补充</w:t>
            </w:r>
          </w:p>
        </w:tc>
        <w:tc>
          <w:tcPr>
            <w:tcW w:w="127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200.00</w:t>
            </w:r>
          </w:p>
        </w:tc>
        <w:tc>
          <w:tcPr>
            <w:tcW w:w="4135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若现有传感器精度不足，补充高精度温湿度记录仪（用于数据校准比对）；或补充备件</w:t>
            </w:r>
          </w:p>
        </w:tc>
      </w:tr>
      <w:tr>
        <w:tc>
          <w:tcPr>
            <w:tcW w:w="848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w="1696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成果制作</w:t>
            </w:r>
          </w:p>
        </w:tc>
        <w:tc>
          <w:tcPr>
            <w:tcW w:w="127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150.00</w:t>
            </w:r>
          </w:p>
        </w:tc>
        <w:tc>
          <w:tcPr>
            <w:tcW w:w="4135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结题报告印制、答辩海报或展板制作</w:t>
            </w:r>
          </w:p>
        </w:tc>
      </w:tr>
      <w:tr>
        <w:tc>
          <w:tcPr>
            <w:tcW w:w="848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w="1696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机动预留</w:t>
            </w:r>
          </w:p>
        </w:tc>
        <w:tc>
          <w:tcPr>
            <w:tcW w:w="127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137.46</w:t>
            </w:r>
          </w:p>
        </w:tc>
        <w:tc>
          <w:tcPr>
            <w:tcW w:w="4135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应对不可预见支出（如器件损坏补购、额外数据采集需求）</w:t>
            </w:r>
          </w:p>
        </w:tc>
      </w:tr>
      <w:tr>
        <w:tc>
          <w:tcPr>
            <w:tcW w:w="848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w="1696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合计</w:t>
            </w:r>
          </w:p>
        </w:tc>
        <w:tc>
          <w:tcPr>
            <w:tcW w:w="1272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787.46</w:t>
            </w:r>
          </w:p>
        </w:tc>
        <w:tc>
          <w:tcPr>
            <w:tcW w:w="4135" w:type="dxa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</w:tbl>
    <w:sectPr w:rsidR="00FC693F" w:rsidRPr="0006063C" w:rsidSect="00034616">
      <w:pgSz w:w="11906" w:h="16838"/>
      <w:pgMar w:top="1417" w:right="1417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