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E"/>
          <w:spacing w:val="40"/>
          <w:sz w:val="52"/>
          <w:szCs w:val="52"/>
        </w:rPr>
        <w:t xml:space="preserve">SLATE</w:t>
      </w:r>
    </w:p>
    <w:p>
      <w:pPr>
        <w:spacing w:after="60"/>
      </w:pPr>
      <w:r>
        <w:rPr>
          <w:rFonts w:ascii="Georgia" w:cs="Georgia" w:eastAsia="Georgia" w:hAnsi="Georgia"/>
          <w:i/>
          <w:iCs/>
          <w:color w:val="3B4ED6"/>
          <w:sz w:val="24"/>
          <w:szCs w:val="24"/>
        </w:rPr>
        <w:t xml:space="preserve">Organic growth, run by agents.</w:t>
      </w:r>
    </w:p>
    <w:p>
      <w:pPr>
        <w:spacing w:after="40"/>
      </w:pPr>
      <w:r>
        <w:rPr>
          <w:rFonts w:ascii="Calibri" w:cs="Calibri" w:eastAsia="Calibri" w:hAnsi="Calibri"/>
          <w:b/>
          <w:bCs/>
          <w:color w:val="6B7280"/>
          <w:sz w:val="22"/>
          <w:szCs w:val="22"/>
        </w:rPr>
        <w:t xml:space="preserve">Investor Write-Up</w:t>
      </w:r>
    </w:p>
    <w:p>
      <w:pPr>
        <w:spacing w:after="60"/>
      </w:pPr>
      <w:r>
        <w:rPr>
          <w:rFonts w:ascii="Calibri" w:cs="Calibri" w:eastAsia="Calibri" w:hAnsi="Calibri"/>
          <w:color w:val="6B7280"/>
          <w:sz w:val="19"/>
          <w:szCs w:val="19"/>
        </w:rPr>
        <w:t xml:space="preserve">Stage: Seed   ·   Raising: $4–5M   ·   Traction: $30K MRR / $45K+ booked, all annual</w:t>
      </w:r>
    </w:p>
    <w:p>
      <w:pPr>
        <w:spacing w:after="60"/>
      </w:pPr>
      <w:r>
        <w:rPr>
          <w:rFonts w:ascii="Calibri" w:cs="Calibri" w:eastAsia="Calibri" w:hAnsi="Calibri"/>
          <w:color w:val="6B7280"/>
          <w:sz w:val="19"/>
          <w:szCs w:val="19"/>
        </w:rPr>
        <w:t xml:space="preserve">shiyam@slatehq.com   ·   slatehq.com</w:t>
      </w:r>
    </w:p>
    <w:p>
      <w:pPr>
        <w:pBdr>
          <w:bottom w:val="single" w:color="D5D8E0" w:sz="6" w:space="1"/>
        </w:pBdr>
        <w:spacing w:after="120" w:before="120"/>
      </w:pPr>
      <w:r>
        <w:t xml:space="preserve"/>
      </w:r>
    </w:p>
    <w:p>
      <w:pPr>
        <w:pStyle w:val="Heading1"/>
        <w:spacing w:after="120" w:before="320"/>
      </w:pPr>
      <w:r>
        <w:rPr>
          <w:rFonts w:ascii="Calibri" w:cs="Calibri" w:eastAsia="Calibri" w:hAnsi="Calibri"/>
          <w:b/>
          <w:bCs/>
          <w:color w:val="1A1A2E"/>
          <w:sz w:val="30"/>
          <w:szCs w:val="30"/>
        </w:rPr>
        <w:t xml:space="preserve">In one line</w:t>
      </w:r>
    </w:p>
    <w:p>
      <w:pPr>
        <w:spacing w:after="140" w:line="288"/>
      </w:pPr>
      <w:r>
        <w:rPr>
          <w:rFonts w:ascii="Calibri" w:cs="Calibri" w:eastAsia="Calibri" w:hAnsi="Calibri"/>
          <w:color w:val="1A1A2E"/>
          <w:sz w:val="21"/>
          <w:szCs w:val="21"/>
        </w:rPr>
        <w:t xml:space="preserve">Slate is the control plane for autonomous marketing — the layer where a marketing org sets a goal and agents remember, watch, and ship the work to hit it. Ahrefs owns the data layer. Zapier owns the execution layer. </w:t>
      </w:r>
      <w:r>
        <w:rPr>
          <w:rFonts w:ascii="Calibri" w:cs="Calibri" w:eastAsia="Calibri" w:hAnsi="Calibri"/>
          <w:b/>
          <w:bCs/>
          <w:color w:val="1A1A2E"/>
          <w:sz w:val="21"/>
          <w:szCs w:val="21"/>
        </w:rPr>
        <w:t xml:space="preserve">Slate owns the layer where marketing actually thinks.</w:t>
      </w:r>
    </w:p>
    <w:p>
      <w:pPr>
        <w:pStyle w:val="Heading1"/>
        <w:spacing w:after="120" w:before="320"/>
      </w:pPr>
      <w:r>
        <w:rPr>
          <w:rFonts w:ascii="Calibri" w:cs="Calibri" w:eastAsia="Calibri" w:hAnsi="Calibri"/>
          <w:b/>
          <w:bCs/>
          <w:color w:val="1A1A2E"/>
          <w:sz w:val="30"/>
          <w:szCs w:val="30"/>
        </w:rPr>
        <w:t xml:space="preserve">Why this is worth a look now</w:t>
      </w:r>
    </w:p>
    <w:p>
      <w:pPr>
        <w:spacing w:after="140" w:line="288"/>
      </w:pPr>
      <w:r>
        <w:rPr>
          <w:rFonts w:ascii="Calibri" w:cs="Calibri" w:eastAsia="Calibri" w:hAnsi="Calibri"/>
          <w:color w:val="1A1A2E"/>
          <w:sz w:val="21"/>
          <w:szCs w:val="21"/>
        </w:rPr>
        <w:t xml:space="preserve">Three things rarely line up at once. Here they do:</w:t>
      </w:r>
    </w:p>
    <w:p>
      <w:pPr>
        <w:pStyle w:val="ListParagraph"/>
        <w:numPr>
          <w:ilvl w:val="0"/>
          <w:numId w:val="2"/>
        </w:numPr>
        <w:spacing w:after="100" w:line="288"/>
      </w:pPr>
      <w:r>
        <w:rPr>
          <w:rFonts w:ascii="Calibri" w:cs="Calibri" w:eastAsia="Calibri" w:hAnsi="Calibri"/>
          <w:b/>
          <w:bCs/>
          <w:color w:val="1A1A2E"/>
          <w:sz w:val="21"/>
          <w:szCs w:val="21"/>
        </w:rPr>
        <w:t xml:space="preserve">A budget is moving, not just a market that exists. </w:t>
      </w:r>
      <w:r>
        <w:rPr>
          <w:rFonts w:ascii="Calibri" w:cs="Calibri" w:eastAsia="Calibri" w:hAnsi="Calibri"/>
          <w:color w:val="1A1A2E"/>
          <w:sz w:val="21"/>
          <w:szCs w:val="21"/>
        </w:rPr>
        <w:t xml:space="preserve">~$60B of global marketing-operations spend is shifting from human seats to agent seats by 2028. The average marketing team is already ~40% smaller than in 2025, and that budget moved to tooling and has not moved back. This is a re-allocation of dollars already being spent — not a category built from zero.</w:t>
      </w:r>
    </w:p>
    <w:p>
      <w:pPr>
        <w:pStyle w:val="ListParagraph"/>
        <w:numPr>
          <w:ilvl w:val="0"/>
          <w:numId w:val="2"/>
        </w:numPr>
        <w:spacing w:after="100" w:line="288"/>
      </w:pPr>
      <w:r>
        <w:rPr>
          <w:rFonts w:ascii="Calibri" w:cs="Calibri" w:eastAsia="Calibri" w:hAnsi="Calibri"/>
          <w:b/>
          <w:bCs/>
          <w:color w:val="1A1A2E"/>
          <w:sz w:val="21"/>
          <w:szCs w:val="21"/>
        </w:rPr>
        <w:t xml:space="preserve">The moat moved to exactly what Slate owns. </w:t>
      </w:r>
      <w:r>
        <w:rPr>
          <w:rFonts w:ascii="Calibri" w:cs="Calibri" w:eastAsia="Calibri" w:hAnsi="Calibri"/>
          <w:color w:val="1A1A2E"/>
          <w:sz w:val="21"/>
          <w:szCs w:val="21"/>
        </w:rPr>
        <w:t xml:space="preserve">As frontier models converge in raw reasoning, the durable advantage is no longer the model — it's memory, context, and integrations. Slate is built natively around a compounding memory graph that gets more valuable every day it's used, and only for the customer who used it.</w:t>
      </w:r>
    </w:p>
    <w:p>
      <w:pPr>
        <w:pStyle w:val="ListParagraph"/>
        <w:numPr>
          <w:ilvl w:val="0"/>
          <w:numId w:val="2"/>
        </w:numPr>
        <w:spacing w:after="100" w:line="288"/>
      </w:pPr>
      <w:r>
        <w:rPr>
          <w:rFonts w:ascii="Calibri" w:cs="Calibri" w:eastAsia="Calibri" w:hAnsi="Calibri"/>
          <w:b/>
          <w:bCs/>
          <w:color w:val="1A1A2E"/>
          <w:sz w:val="21"/>
          <w:szCs w:val="21"/>
        </w:rPr>
        <w:t xml:space="preserve">The buyer changed. </w:t>
      </w:r>
      <w:r>
        <w:rPr>
          <w:rFonts w:ascii="Calibri" w:cs="Calibri" w:eastAsia="Calibri" w:hAnsi="Calibri"/>
          <w:color w:val="1A1A2E"/>
          <w:sz w:val="21"/>
          <w:szCs w:val="21"/>
        </w:rPr>
        <w:t xml:space="preserve">The generation now running marketing expects an agent that does the work, not an analyst who hands them a dashboard. “AI-native marketer” went from a niche title to a standard job req in 24 months. Every team is already trying to make Claude their coworker by hand — Slate is the product they're improvising toward.</w:t>
      </w:r>
    </w:p>
    <w:p>
      <w:pPr>
        <w:pStyle w:val="Heading1"/>
        <w:spacing w:after="120" w:before="320"/>
      </w:pPr>
      <w:r>
        <w:rPr>
          <w:rFonts w:ascii="Calibri" w:cs="Calibri" w:eastAsia="Calibri" w:hAnsi="Calibri"/>
          <w:b/>
          <w:bCs/>
          <w:color w:val="1A1A2E"/>
          <w:sz w:val="30"/>
          <w:szCs w:val="30"/>
        </w:rPr>
        <w:t xml:space="preserve">The problem Slate solves</w:t>
      </w:r>
    </w:p>
    <w:p>
      <w:pPr>
        <w:spacing w:after="140" w:line="288"/>
      </w:pPr>
      <w:r>
        <w:rPr>
          <w:rFonts w:ascii="Calibri" w:cs="Calibri" w:eastAsia="Calibri" w:hAnsi="Calibri"/>
          <w:color w:val="1A1A2E"/>
          <w:sz w:val="21"/>
          <w:szCs w:val="21"/>
        </w:rPr>
        <w:t xml:space="preserve">Every CMO has been handed the same impossible math: 10x the output with half the team. The tools they were given can't get them there because each owns only a fragment of the job:</w:t>
      </w:r>
    </w:p>
    <w:p>
      <w:pPr>
        <w:pStyle w:val="ListParagraph"/>
        <w:numPr>
          <w:ilvl w:val="0"/>
          <w:numId w:val="3"/>
        </w:numPr>
        <w:spacing w:after="80" w:line="288"/>
      </w:pPr>
      <w:r>
        <w:rPr>
          <w:rFonts w:ascii="Calibri" w:cs="Calibri" w:eastAsia="Calibri" w:hAnsi="Calibri"/>
          <w:b/>
          <w:bCs/>
          <w:color w:val="1A1A2E"/>
          <w:sz w:val="21"/>
          <w:szCs w:val="21"/>
        </w:rPr>
        <w:t xml:space="preserve">Ahrefs / Semrush</w:t>
      </w:r>
      <w:r>
        <w:rPr>
          <w:rFonts w:ascii="Calibri" w:cs="Calibri" w:eastAsia="Calibri" w:hAnsi="Calibri"/>
          <w:color w:val="1A1A2E"/>
          <w:sz w:val="21"/>
          <w:szCs w:val="21"/>
        </w:rPr>
        <w:t xml:space="preserve"> surface data, then stop. An alert fires and nothing happens.</w:t>
      </w:r>
    </w:p>
    <w:p>
      <w:pPr>
        <w:pStyle w:val="ListParagraph"/>
        <w:numPr>
          <w:ilvl w:val="0"/>
          <w:numId w:val="3"/>
        </w:numPr>
        <w:spacing w:after="80" w:line="288"/>
      </w:pPr>
      <w:r>
        <w:rPr>
          <w:rFonts w:ascii="Calibri" w:cs="Calibri" w:eastAsia="Calibri" w:hAnsi="Calibri"/>
          <w:b/>
          <w:bCs/>
          <w:color w:val="1A1A2E"/>
          <w:sz w:val="21"/>
          <w:szCs w:val="21"/>
        </w:rPr>
        <w:t xml:space="preserve">Claude / ChatGPT projects</w:t>
      </w:r>
      <w:r>
        <w:rPr>
          <w:rFonts w:ascii="Calibri" w:cs="Calibri" w:eastAsia="Calibri" w:hAnsi="Calibri"/>
          <w:color w:val="1A1A2E"/>
          <w:sz w:val="21"/>
          <w:szCs w:val="21"/>
        </w:rPr>
        <w:t xml:space="preserve"> reason beautifully but forget — no outcome memory, no team-wide context.</w:t>
      </w:r>
    </w:p>
    <w:p>
      <w:pPr>
        <w:pStyle w:val="ListParagraph"/>
        <w:numPr>
          <w:ilvl w:val="0"/>
          <w:numId w:val="3"/>
        </w:numPr>
        <w:spacing w:after="80" w:line="288"/>
      </w:pPr>
      <w:r>
        <w:rPr>
          <w:rFonts w:ascii="Calibri" w:cs="Calibri" w:eastAsia="Calibri" w:hAnsi="Calibri"/>
          <w:b/>
          <w:bCs/>
          <w:color w:val="1A1A2E"/>
          <w:sz w:val="21"/>
          <w:szCs w:val="21"/>
        </w:rPr>
        <w:t xml:space="preserve">Zapier / n8n</w:t>
      </w:r>
      <w:r>
        <w:rPr>
          <w:rFonts w:ascii="Calibri" w:cs="Calibri" w:eastAsia="Calibri" w:hAnsi="Calibri"/>
          <w:color w:val="1A1A2E"/>
          <w:sz w:val="21"/>
          <w:szCs w:val="21"/>
        </w:rPr>
        <w:t xml:space="preserve"> execute workflows but have no marketing judgment. Pipes, not brains.</w:t>
      </w:r>
    </w:p>
    <w:p>
      <w:pPr>
        <w:spacing w:after="140" w:line="288"/>
      </w:pPr>
      <w:r>
        <w:rPr>
          <w:rFonts w:ascii="Calibri" w:cs="Calibri" w:eastAsia="Calibri" w:hAnsi="Calibri"/>
          <w:color w:val="1A1A2E"/>
          <w:sz w:val="21"/>
          <w:szCs w:val="21"/>
        </w:rPr>
        <w:t xml:space="preserve">No tool owns the loop from </w:t>
      </w:r>
      <w:r>
        <w:rPr>
          <w:rFonts w:ascii="Calibri" w:cs="Calibri" w:eastAsia="Calibri" w:hAnsi="Calibri"/>
          <w:i/>
          <w:iCs/>
          <w:color w:val="1A1A2E"/>
          <w:sz w:val="21"/>
          <w:szCs w:val="21"/>
        </w:rPr>
        <w:t xml:space="preserve">signal → shipped work</w:t>
      </w:r>
      <w:r>
        <w:rPr>
          <w:rFonts w:ascii="Calibri" w:cs="Calibri" w:eastAsia="Calibri" w:hAnsi="Calibri"/>
          <w:color w:val="1A1A2E"/>
          <w:sz w:val="21"/>
          <w:szCs w:val="21"/>
        </w:rPr>
        <w:t xml:space="preserve">. That loop is the entire job of a marketing team, and it's the gap Slate fills.</w:t>
      </w:r>
    </w:p>
    <w:p>
      <w:pPr>
        <w:pStyle w:val="Heading1"/>
        <w:spacing w:after="120" w:before="320"/>
      </w:pPr>
      <w:r>
        <w:rPr>
          <w:rFonts w:ascii="Calibri" w:cs="Calibri" w:eastAsia="Calibri" w:hAnsi="Calibri"/>
          <w:b/>
          <w:bCs/>
          <w:color w:val="1A1A2E"/>
          <w:sz w:val="30"/>
          <w:szCs w:val="30"/>
        </w:rPr>
        <w:t xml:space="preserve">What Slate is</w:t>
      </w:r>
    </w:p>
    <w:p>
      <w:pPr>
        <w:spacing w:after="140" w:line="288"/>
      </w:pPr>
      <w:r>
        <w:rPr>
          <w:rFonts w:ascii="Calibri" w:cs="Calibri" w:eastAsia="Calibri" w:hAnsi="Calibri"/>
          <w:color w:val="1A1A2E"/>
          <w:sz w:val="21"/>
          <w:szCs w:val="21"/>
        </w:rPr>
        <w:t xml:space="preserve">A single goal input replaces eight dashboards. Underneath it:</w:t>
      </w:r>
    </w:p>
    <w:p>
      <w:pPr>
        <w:pStyle w:val="ListParagraph"/>
        <w:numPr>
          <w:ilvl w:val="0"/>
          <w:numId w:val="3"/>
        </w:numPr>
        <w:spacing w:after="80" w:line="288"/>
      </w:pPr>
      <w:r>
        <w:rPr>
          <w:rFonts w:ascii="Calibri" w:cs="Calibri" w:eastAsia="Calibri" w:hAnsi="Calibri"/>
          <w:b/>
          <w:bCs/>
          <w:color w:val="1A1A2E"/>
          <w:sz w:val="21"/>
          <w:szCs w:val="21"/>
        </w:rPr>
        <w:t xml:space="preserve">Agentic watchers that never sleep</w:t>
      </w:r>
      <w:r>
        <w:rPr>
          <w:rFonts w:ascii="Calibri" w:cs="Calibri" w:eastAsia="Calibri" w:hAnsi="Calibri"/>
          <w:color w:val="1A1A2E"/>
          <w:sz w:val="21"/>
          <w:szCs w:val="21"/>
        </w:rPr>
        <w:t xml:space="preserve"> — background workers on rankings, pages, competitors, and AI citations. They create the work; no one has to ask.</w:t>
      </w:r>
    </w:p>
    <w:p>
      <w:pPr>
        <w:pStyle w:val="ListParagraph"/>
        <w:numPr>
          <w:ilvl w:val="0"/>
          <w:numId w:val="3"/>
        </w:numPr>
        <w:spacing w:after="80" w:line="288"/>
      </w:pPr>
      <w:r>
        <w:rPr>
          <w:rFonts w:ascii="Calibri" w:cs="Calibri" w:eastAsia="Calibri" w:hAnsi="Calibri"/>
          <w:b/>
          <w:bCs/>
          <w:color w:val="1A1A2E"/>
          <w:sz w:val="21"/>
          <w:szCs w:val="21"/>
        </w:rPr>
        <w:t xml:space="preserve">Native AI-search visibility</w:t>
      </w:r>
      <w:r>
        <w:rPr>
          <w:rFonts w:ascii="Calibri" w:cs="Calibri" w:eastAsia="Calibri" w:hAnsi="Calibri"/>
          <w:color w:val="1A1A2E"/>
          <w:sz w:val="21"/>
          <w:szCs w:val="21"/>
        </w:rPr>
        <w:t xml:space="preserve"> — share of voice across ChatGPT, Perplexity, Gemini, and AI Overviews, plus the ability to fix the pages AI can't cite. Organic clicks dropped ~57% after AI Overviews, and ChatGPT converts ~4x better than Google organic from homepage visits. The channel has already shifted; Slate is built for where it went.</w:t>
      </w:r>
    </w:p>
    <w:p>
      <w:pPr>
        <w:pStyle w:val="ListParagraph"/>
        <w:numPr>
          <w:ilvl w:val="0"/>
          <w:numId w:val="3"/>
        </w:numPr>
        <w:spacing w:after="80" w:line="288"/>
      </w:pPr>
      <w:r>
        <w:rPr>
          <w:rFonts w:ascii="Calibri" w:cs="Calibri" w:eastAsia="Calibri" w:hAnsi="Calibri"/>
          <w:b/>
          <w:bCs/>
          <w:color w:val="1A1A2E"/>
          <w:sz w:val="21"/>
          <w:szCs w:val="21"/>
        </w:rPr>
        <w:t xml:space="preserve">A company brain any agent inherits</w:t>
      </w:r>
      <w:r>
        <w:rPr>
          <w:rFonts w:ascii="Calibri" w:cs="Calibri" w:eastAsia="Calibri" w:hAnsi="Calibri"/>
          <w:color w:val="1A1A2E"/>
          <w:sz w:val="21"/>
          <w:szCs w:val="21"/>
        </w:rPr>
        <w:t xml:space="preserve"> — point Claude Code, Codex, or a custom agent at Slate and it instantly gets the company's full marketing context.</w:t>
      </w:r>
    </w:p>
    <w:p>
      <w:pPr>
        <w:pStyle w:val="Heading1"/>
        <w:spacing w:after="120" w:before="320"/>
      </w:pPr>
      <w:r>
        <w:rPr>
          <w:rFonts w:ascii="Calibri" w:cs="Calibri" w:eastAsia="Calibri" w:hAnsi="Calibri"/>
          <w:b/>
          <w:bCs/>
          <w:color w:val="1A1A2E"/>
          <w:sz w:val="30"/>
          <w:szCs w:val="30"/>
        </w:rPr>
        <w:t xml:space="preserve">The moat: context compounds</w:t>
      </w:r>
    </w:p>
    <w:p>
      <w:pPr>
        <w:spacing w:after="140" w:line="288"/>
      </w:pPr>
      <w:r>
        <w:rPr>
          <w:rFonts w:ascii="Calibri" w:cs="Calibri" w:eastAsia="Calibri" w:hAnsi="Calibri"/>
          <w:color w:val="1A1A2E"/>
          <w:sz w:val="21"/>
          <w:szCs w:val="21"/>
        </w:rPr>
        <w:t xml:space="preserve">This is the part that matters most for a company that needs to become durable, not just big.</w:t>
      </w:r>
    </w:p>
    <w:p>
      <w:pPr>
        <w:spacing w:after="140" w:line="288"/>
      </w:pPr>
      <w:r>
        <w:rPr>
          <w:rFonts w:ascii="Calibri" w:cs="Calibri" w:eastAsia="Calibri" w:hAnsi="Calibri"/>
          <w:color w:val="1A1A2E"/>
          <w:sz w:val="21"/>
          <w:szCs w:val="21"/>
        </w:rPr>
        <w:t xml:space="preserve">Every campaign, edit, approval, and rejection feeds back into the memory graph. Day 300 is a materially better colleague than day 1 — </w:t>
      </w:r>
      <w:r>
        <w:rPr>
          <w:rFonts w:ascii="Calibri" w:cs="Calibri" w:eastAsia="Calibri" w:hAnsi="Calibri"/>
          <w:b/>
          <w:bCs/>
          <w:color w:val="1A1A2E"/>
          <w:sz w:val="21"/>
          <w:szCs w:val="21"/>
        </w:rPr>
        <w:t xml:space="preserve">and only for that customer.</w:t>
      </w:r>
      <w:r>
        <w:rPr>
          <w:rFonts w:ascii="Calibri" w:cs="Calibri" w:eastAsia="Calibri" w:hAnsi="Calibri"/>
          <w:color w:val="1A1A2E"/>
          <w:sz w:val="21"/>
          <w:szCs w:val="21"/>
        </w:rPr>
        <w:t xml:space="preserve"> On top of that, 500+ campaign playbooks are baked in on day one, and every new customer's outcomes sharpen the shared defaults. The result is a flywheel — </w:t>
      </w:r>
      <w:r>
        <w:rPr>
          <w:rFonts w:ascii="Calibri" w:cs="Calibri" w:eastAsia="Calibri" w:hAnsi="Calibri"/>
          <w:i/>
          <w:iCs/>
          <w:color w:val="1A1A2E"/>
          <w:sz w:val="21"/>
          <w:szCs w:val="21"/>
        </w:rPr>
        <w:t xml:space="preserve">memory → intelligence → signals → agents → memory</w:t>
      </w:r>
      <w:r>
        <w:rPr>
          <w:rFonts w:ascii="Calibri" w:cs="Calibri" w:eastAsia="Calibri" w:hAnsi="Calibri"/>
          <w:color w:val="1A1A2E"/>
          <w:sz w:val="21"/>
          <w:szCs w:val="21"/>
        </w:rPr>
        <w:t xml:space="preserve"> — where switching cost rises every day the product is used. Even a competitor's agent gets better the moment it plugs into Slate, which turns rivals into distribution.</w:t>
      </w:r>
    </w:p>
    <w:p>
      <w:pPr>
        <w:pStyle w:val="Heading1"/>
        <w:spacing w:after="120" w:before="320"/>
      </w:pPr>
      <w:r>
        <w:rPr>
          <w:rFonts w:ascii="Calibri" w:cs="Calibri" w:eastAsia="Calibri" w:hAnsi="Calibri"/>
          <w:b/>
          <w:bCs/>
          <w:color w:val="1A1A2E"/>
          <w:sz w:val="30"/>
          <w:szCs w:val="30"/>
        </w:rPr>
        <w:t xml:space="preserve">Traction — the signal before the fuel</w:t>
      </w:r>
    </w:p>
    <w:p>
      <w:pPr>
        <w:pStyle w:val="ListParagraph"/>
        <w:numPr>
          <w:ilvl w:val="0"/>
          <w:numId w:val="3"/>
        </w:numPr>
        <w:spacing w:after="80" w:line="288"/>
      </w:pPr>
      <w:r>
        <w:rPr>
          <w:rFonts w:ascii="Calibri" w:cs="Calibri" w:eastAsia="Calibri" w:hAnsi="Calibri"/>
          <w:b/>
          <w:bCs/>
          <w:color w:val="1A1A2E"/>
          <w:sz w:val="21"/>
          <w:szCs w:val="21"/>
        </w:rPr>
        <w:t xml:space="preserve">$30K MRR, $45K+ booked, 100% annual contracts</w:t>
      </w:r>
      <w:r>
        <w:rPr>
          <w:rFonts w:ascii="Calibri" w:cs="Calibri" w:eastAsia="Calibri" w:hAnsi="Calibri"/>
          <w:color w:val="1A1A2E"/>
          <w:sz w:val="21"/>
          <w:szCs w:val="21"/>
        </w:rPr>
        <w:t xml:space="preserve"> (vs. mostly-monthly in SaaS).</w:t>
      </w:r>
    </w:p>
    <w:p>
      <w:pPr>
        <w:pStyle w:val="ListParagraph"/>
        <w:numPr>
          <w:ilvl w:val="0"/>
          <w:numId w:val="3"/>
        </w:numPr>
        <w:spacing w:after="80" w:line="288"/>
      </w:pPr>
      <w:r>
        <w:rPr>
          <w:rFonts w:ascii="Calibri" w:cs="Calibri" w:eastAsia="Calibri" w:hAnsi="Calibri"/>
          <w:b/>
          <w:bCs/>
          <w:color w:val="1A1A2E"/>
          <w:sz w:val="21"/>
          <w:szCs w:val="21"/>
        </w:rPr>
        <w:t xml:space="preserve">25+ paying customers, 20+ POCs in progress</w:t>
      </w:r>
      <w:r>
        <w:rPr>
          <w:rFonts w:ascii="Calibri" w:cs="Calibri" w:eastAsia="Calibri" w:hAnsi="Calibri"/>
          <w:color w:val="1A1A2E"/>
          <w:sz w:val="21"/>
          <w:szCs w:val="21"/>
        </w:rPr>
        <w:t xml:space="preserve"> — with $0 paid CAC (founder-led), against a $8–15K SaaS benchmark.</w:t>
      </w:r>
    </w:p>
    <w:p>
      <w:pPr>
        <w:pStyle w:val="ListParagraph"/>
        <w:numPr>
          <w:ilvl w:val="0"/>
          <w:numId w:val="3"/>
        </w:numPr>
        <w:spacing w:after="80" w:line="288"/>
      </w:pPr>
      <w:r>
        <w:rPr>
          <w:rFonts w:ascii="Calibri" w:cs="Calibri" w:eastAsia="Calibri" w:hAnsi="Calibri"/>
          <w:b/>
          <w:bCs/>
          <w:color w:val="1A1A2E"/>
          <w:sz w:val="21"/>
          <w:szCs w:val="21"/>
        </w:rPr>
        <w:t xml:space="preserve">1.6x average contract expansion by month 6</w:t>
      </w:r>
      <w:r>
        <w:rPr>
          <w:rFonts w:ascii="Calibri" w:cs="Calibri" w:eastAsia="Calibri" w:hAnsi="Calibri"/>
          <w:color w:val="1A1A2E"/>
          <w:sz w:val="21"/>
          <w:szCs w:val="21"/>
        </w:rPr>
        <w:t xml:space="preserve">, vs. a 1.1–1.3x benchmark.</w:t>
      </w:r>
    </w:p>
    <w:p>
      <w:pPr>
        <w:spacing w:after="140" w:line="288"/>
      </w:pPr>
      <w:r>
        <w:rPr>
          <w:rFonts w:ascii="Calibri" w:cs="Calibri" w:eastAsia="Calibri" w:hAnsi="Calibri"/>
          <w:color w:val="1A1A2E"/>
          <w:sz w:val="21"/>
          <w:szCs w:val="21"/>
        </w:rPr>
        <w:t xml:space="preserve">Named outcomes: </w:t>
      </w:r>
      <w:r>
        <w:rPr>
          <w:rFonts w:ascii="Calibri" w:cs="Calibri" w:eastAsia="Calibri" w:hAnsi="Calibri"/>
          <w:b/>
          <w:bCs/>
          <w:color w:val="1A1A2E"/>
          <w:sz w:val="21"/>
          <w:szCs w:val="21"/>
        </w:rPr>
        <w:t xml:space="preserve">Signeasy</w:t>
      </w:r>
      <w:r>
        <w:rPr>
          <w:rFonts w:ascii="Calibri" w:cs="Calibri" w:eastAsia="Calibri" w:hAnsi="Calibri"/>
          <w:color w:val="1A1A2E"/>
          <w:sz w:val="21"/>
          <w:szCs w:val="21"/>
        </w:rPr>
        <w:t xml:space="preserve"> (800+ LLM sessions/mo, 60–68% consistent MoM growth), </w:t>
      </w:r>
      <w:r>
        <w:rPr>
          <w:rFonts w:ascii="Calibri" w:cs="Calibri" w:eastAsia="Calibri" w:hAnsi="Calibri"/>
          <w:b/>
          <w:bCs/>
          <w:color w:val="1A1A2E"/>
          <w:sz w:val="21"/>
          <w:szCs w:val="21"/>
        </w:rPr>
        <w:t xml:space="preserve">Meegle</w:t>
      </w:r>
      <w:r>
        <w:rPr>
          <w:rFonts w:ascii="Calibri" w:cs="Calibri" w:eastAsia="Calibri" w:hAnsi="Calibri"/>
          <w:color w:val="1A1A2E"/>
          <w:sz w:val="21"/>
          <w:szCs w:val="21"/>
        </w:rPr>
        <w:t xml:space="preserve"> (14x blog traffic, 134% more AI citations), </w:t>
      </w:r>
      <w:r>
        <w:rPr>
          <w:rFonts w:ascii="Calibri" w:cs="Calibri" w:eastAsia="Calibri" w:hAnsi="Calibri"/>
          <w:b/>
          <w:bCs/>
          <w:color w:val="1A1A2E"/>
          <w:sz w:val="21"/>
          <w:szCs w:val="21"/>
        </w:rPr>
        <w:t xml:space="preserve">Glean</w:t>
      </w:r>
      <w:r>
        <w:rPr>
          <w:rFonts w:ascii="Calibri" w:cs="Calibri" w:eastAsia="Calibri" w:hAnsi="Calibri"/>
          <w:color w:val="1A1A2E"/>
          <w:sz w:val="21"/>
          <w:szCs w:val="21"/>
        </w:rPr>
        <w:t xml:space="preserve"> (275% organic traffic growth), </w:t>
      </w:r>
      <w:r>
        <w:rPr>
          <w:rFonts w:ascii="Calibri" w:cs="Calibri" w:eastAsia="Calibri" w:hAnsi="Calibri"/>
          <w:b/>
          <w:bCs/>
          <w:color w:val="1A1A2E"/>
          <w:sz w:val="21"/>
          <w:szCs w:val="21"/>
        </w:rPr>
        <w:t xml:space="preserve">Razorpay</w:t>
      </w:r>
      <w:r>
        <w:rPr>
          <w:rFonts w:ascii="Calibri" w:cs="Calibri" w:eastAsia="Calibri" w:hAnsi="Calibri"/>
          <w:color w:val="1A1A2E"/>
          <w:sz w:val="21"/>
          <w:szCs w:val="21"/>
        </w:rPr>
        <w:t xml:space="preserve"> (category-leading AI-visibility engine built in Slate).</w:t>
      </w:r>
    </w:p>
    <w:p>
      <w:pPr>
        <w:pBdr>
          <w:left w:val="single" w:color="3B4ED6" w:sz="18" w:space="12"/>
        </w:pBdr>
        <w:spacing w:after="140" w:before="80" w:line="288"/>
        <w:ind w:left="360"/>
      </w:pPr>
      <w:r>
        <w:rPr>
          <w:rFonts w:ascii="Calibri" w:cs="Calibri" w:eastAsia="Calibri" w:hAnsi="Calibri"/>
          <w:i/>
          <w:iCs/>
          <w:color w:val="333A56"/>
          <w:sz w:val="21"/>
          <w:szCs w:val="21"/>
        </w:rPr>
        <w:t xml:space="preserve">Slate is the reason we stopped hiring a content team and started shipping like one.</w:t>
      </w:r>
      <w:r>
        <w:rPr>
          <w:rFonts w:ascii="Calibri" w:cs="Calibri" w:eastAsia="Calibri" w:hAnsi="Calibri"/>
          <w:color w:val="6B7280"/>
          <w:sz w:val="19"/>
          <w:szCs w:val="19"/>
        </w:rPr>
        <w:t xml:space="preserve">  — Signeasy</w:t>
      </w:r>
    </w:p>
    <w:p>
      <w:pPr>
        <w:pBdr>
          <w:left w:val="single" w:color="3B4ED6" w:sz="18" w:space="12"/>
        </w:pBdr>
        <w:spacing w:after="140" w:before="80" w:line="288"/>
        <w:ind w:left="360"/>
      </w:pPr>
      <w:r>
        <w:rPr>
          <w:rFonts w:ascii="Calibri" w:cs="Calibri" w:eastAsia="Calibri" w:hAnsi="Calibri"/>
          <w:i/>
          <w:iCs/>
          <w:color w:val="333A56"/>
          <w:sz w:val="21"/>
          <w:szCs w:val="21"/>
        </w:rPr>
        <w:t xml:space="preserve">We approved 40 pieces last month. Nobody on our team wrote a full draft. Slate did the work; we made the judgment calls.</w:t>
      </w:r>
      <w:r>
        <w:rPr>
          <w:rFonts w:ascii="Calibri" w:cs="Calibri" w:eastAsia="Calibri" w:hAnsi="Calibri"/>
          <w:color w:val="6B7280"/>
          <w:sz w:val="19"/>
          <w:szCs w:val="19"/>
        </w:rPr>
        <w:t xml:space="preserve">  — Meegle</w:t>
      </w:r>
    </w:p>
    <w:p>
      <w:pPr>
        <w:pStyle w:val="Heading1"/>
        <w:spacing w:after="120" w:before="320"/>
      </w:pPr>
      <w:r>
        <w:rPr>
          <w:rFonts w:ascii="Calibri" w:cs="Calibri" w:eastAsia="Calibri" w:hAnsi="Calibri"/>
          <w:b/>
          <w:bCs/>
          <w:color w:val="1A1A2E"/>
          <w:sz w:val="30"/>
          <w:szCs w:val="30"/>
        </w:rPr>
        <w:t xml:space="preserve">Business model — three compounding layers</w:t>
      </w:r>
    </w:p>
    <w:p>
      <w:pPr>
        <w:pStyle w:val="ListParagraph"/>
        <w:numPr>
          <w:ilvl w:val="0"/>
          <w:numId w:val="2"/>
        </w:numPr>
        <w:spacing w:after="100" w:line="288"/>
      </w:pPr>
      <w:r>
        <w:rPr>
          <w:rFonts w:ascii="Calibri" w:cs="Calibri" w:eastAsia="Calibri" w:hAnsi="Calibri"/>
          <w:b/>
          <w:bCs/>
          <w:color w:val="1A1A2E"/>
          <w:sz w:val="21"/>
          <w:szCs w:val="21"/>
        </w:rPr>
        <w:t xml:space="preserve">Base recurring · ~$18K/yr avg</w:t>
      </w:r>
      <w:r>
        <w:rPr>
          <w:rFonts w:ascii="Calibri" w:cs="Calibri" w:eastAsia="Calibri" w:hAnsi="Calibri"/>
          <w:color w:val="1A1A2E"/>
          <w:sz w:val="21"/>
          <w:szCs w:val="21"/>
        </w:rPr>
        <w:t xml:space="preserve"> — coworker seats + control plane. Predictable, annual ARR.</w:t>
      </w:r>
    </w:p>
    <w:p>
      <w:pPr>
        <w:pStyle w:val="ListParagraph"/>
        <w:numPr>
          <w:ilvl w:val="0"/>
          <w:numId w:val="2"/>
        </w:numPr>
        <w:spacing w:after="100" w:line="288"/>
      </w:pPr>
      <w:r>
        <w:rPr>
          <w:rFonts w:ascii="Calibri" w:cs="Calibri" w:eastAsia="Calibri" w:hAnsi="Calibri"/>
          <w:b/>
          <w:bCs/>
          <w:color w:val="1A1A2E"/>
          <w:sz w:val="21"/>
          <w:szCs w:val="21"/>
        </w:rPr>
        <w:t xml:space="preserve">High-margin expansion · ~$6K avg additional</w:t>
      </w:r>
      <w:r>
        <w:rPr>
          <w:rFonts w:ascii="Calibri" w:cs="Calibri" w:eastAsia="Calibri" w:hAnsi="Calibri"/>
          <w:color w:val="1A1A2E"/>
          <w:sz w:val="21"/>
          <w:szCs w:val="21"/>
        </w:rPr>
        <w:t xml:space="preserve"> — skill packs (Paid, CRO, PR outreach). Same customer, more surface.</w:t>
      </w:r>
    </w:p>
    <w:p>
      <w:pPr>
        <w:pStyle w:val="ListParagraph"/>
        <w:numPr>
          <w:ilvl w:val="0"/>
          <w:numId w:val="2"/>
        </w:numPr>
        <w:spacing w:after="100" w:line="288"/>
      </w:pPr>
      <w:r>
        <w:rPr>
          <w:rFonts w:ascii="Calibri" w:cs="Calibri" w:eastAsia="Calibri" w:hAnsi="Calibri"/>
          <w:b/>
          <w:bCs/>
          <w:color w:val="1A1A2E"/>
          <w:sz w:val="21"/>
          <w:szCs w:val="21"/>
        </w:rPr>
        <w:t xml:space="preserve">Infrastructure, long-term · $5–10K/yr per external agent</w:t>
      </w:r>
      <w:r>
        <w:rPr>
          <w:rFonts w:ascii="Calibri" w:cs="Calibri" w:eastAsia="Calibri" w:hAnsi="Calibri"/>
          <w:color w:val="1A1A2E"/>
          <w:sz w:val="21"/>
          <w:szCs w:val="21"/>
        </w:rPr>
        <w:t xml:space="preserve"> — bring-your-own-agent monetization. Anyone pointing Claude Code, Codex, or a custom agent at Slate pays for the plane underneath.</w:t>
      </w:r>
    </w:p>
    <w:p>
      <w:pPr>
        <w:spacing w:after="140" w:line="288"/>
      </w:pPr>
      <w:r>
        <w:rPr>
          <w:rFonts w:ascii="Calibri" w:cs="Calibri" w:eastAsia="Calibri" w:hAnsi="Calibri"/>
          <w:color w:val="1A1A2E"/>
          <w:sz w:val="21"/>
          <w:szCs w:val="21"/>
        </w:rPr>
        <w:t xml:space="preserve">Each new product area reuses the memory, integrations, and governance the last one earned — so every expansion is cheaper to build and sell than the one before.</w:t>
      </w:r>
    </w:p>
    <w:p>
      <w:pPr>
        <w:pStyle w:val="Heading1"/>
        <w:spacing w:after="120" w:before="320"/>
      </w:pPr>
      <w:r>
        <w:rPr>
          <w:rFonts w:ascii="Calibri" w:cs="Calibri" w:eastAsia="Calibri" w:hAnsi="Calibri"/>
          <w:b/>
          <w:bCs/>
          <w:color w:val="1A1A2E"/>
          <w:sz w:val="30"/>
          <w:szCs w:val="30"/>
        </w:rPr>
        <w:t xml:space="preserve">The path to scale</w:t>
      </w:r>
    </w:p>
    <w:p>
      <w:pPr>
        <w:pStyle w:val="ListParagraph"/>
        <w:numPr>
          <w:ilvl w:val="0"/>
          <w:numId w:val="3"/>
        </w:numPr>
        <w:spacing w:after="80" w:line="288"/>
      </w:pPr>
      <w:r>
        <w:rPr>
          <w:rFonts w:ascii="Calibri" w:cs="Calibri" w:eastAsia="Calibri" w:hAnsi="Calibri"/>
          <w:b/>
          <w:bCs/>
          <w:color w:val="1A1A2E"/>
          <w:sz w:val="21"/>
          <w:szCs w:val="21"/>
        </w:rPr>
        <w:t xml:space="preserve">Today: </w:t>
      </w:r>
      <w:r>
        <w:rPr>
          <w:rFonts w:ascii="Calibri" w:cs="Calibri" w:eastAsia="Calibri" w:hAnsi="Calibri"/>
          <w:color w:val="1A1A2E"/>
          <w:sz w:val="21"/>
          <w:szCs w:val="21"/>
        </w:rPr>
        <w:t xml:space="preserve">$360K ARR run rate, ~$18K avg contract, $0 paid CAC.</w:t>
      </w:r>
    </w:p>
    <w:p>
      <w:pPr>
        <w:pStyle w:val="ListParagraph"/>
        <w:numPr>
          <w:ilvl w:val="0"/>
          <w:numId w:val="3"/>
        </w:numPr>
        <w:spacing w:after="80" w:line="288"/>
      </w:pPr>
      <w:r>
        <w:rPr>
          <w:rFonts w:ascii="Calibri" w:cs="Calibri" w:eastAsia="Calibri" w:hAnsi="Calibri"/>
          <w:b/>
          <w:bCs/>
          <w:color w:val="1A1A2E"/>
          <w:sz w:val="21"/>
          <w:szCs w:val="21"/>
        </w:rPr>
        <w:t xml:space="preserve">12 months: </w:t>
      </w:r>
      <w:r>
        <w:rPr>
          <w:rFonts w:ascii="Calibri" w:cs="Calibri" w:eastAsia="Calibri" w:hAnsi="Calibri"/>
          <w:color w:val="1A1A2E"/>
          <w:sz w:val="21"/>
          <w:szCs w:val="21"/>
        </w:rPr>
        <w:t xml:space="preserve">$3.5M ARR, ~100 customers, Layer-2 skill packs live.</w:t>
      </w:r>
    </w:p>
    <w:p>
      <w:pPr>
        <w:pStyle w:val="ListParagraph"/>
        <w:numPr>
          <w:ilvl w:val="0"/>
          <w:numId w:val="3"/>
        </w:numPr>
        <w:spacing w:after="80" w:line="288"/>
      </w:pPr>
      <w:r>
        <w:rPr>
          <w:rFonts w:ascii="Calibri" w:cs="Calibri" w:eastAsia="Calibri" w:hAnsi="Calibri"/>
          <w:b/>
          <w:bCs/>
          <w:color w:val="1A1A2E"/>
          <w:sz w:val="21"/>
          <w:szCs w:val="21"/>
        </w:rPr>
        <w:t xml:space="preserve">24 months: </w:t>
      </w:r>
      <w:r>
        <w:rPr>
          <w:rFonts w:ascii="Calibri" w:cs="Calibri" w:eastAsia="Calibri" w:hAnsi="Calibri"/>
          <w:color w:val="1A1A2E"/>
          <w:sz w:val="21"/>
          <w:szCs w:val="21"/>
        </w:rPr>
        <w:t xml:space="preserve">$12M ARR, ~250 customers, Layer-3 (BYO-agent) live.</w:t>
      </w:r>
    </w:p>
    <w:p>
      <w:pPr>
        <w:spacing w:after="140" w:line="288"/>
      </w:pPr>
      <w:r>
        <w:rPr>
          <w:rFonts w:ascii="Calibri" w:cs="Calibri" w:eastAsia="Calibri" w:hAnsi="Calibri"/>
          <w:color w:val="1A1A2E"/>
          <w:sz w:val="21"/>
          <w:szCs w:val="21"/>
        </w:rPr>
        <w:t xml:space="preserve">Projections assume 1.6x expansion by month 6 — already observed in the current cohort, so the model leans on behavior that's proven, not hoped for. The roadmap wins AI search first, then reuses the same watchers and memory to expand across paid, lifecycle, CRO, and product marketing — the full growth OS.</w:t>
      </w:r>
    </w:p>
    <w:p>
      <w:pPr>
        <w:pStyle w:val="Heading1"/>
        <w:spacing w:after="120" w:before="320"/>
      </w:pPr>
      <w:r>
        <w:rPr>
          <w:rFonts w:ascii="Calibri" w:cs="Calibri" w:eastAsia="Calibri" w:hAnsi="Calibri"/>
          <w:b/>
          <w:bCs/>
          <w:color w:val="1A1A2E"/>
          <w:sz w:val="30"/>
          <w:szCs w:val="30"/>
        </w:rPr>
        <w:t xml:space="preserve">The team</w:t>
      </w:r>
    </w:p>
    <w:p>
      <w:pPr>
        <w:spacing w:after="140" w:line="288"/>
      </w:pPr>
      <w:r>
        <w:rPr>
          <w:rFonts w:ascii="Calibri" w:cs="Calibri" w:eastAsia="Calibri" w:hAnsi="Calibri"/>
          <w:b/>
          <w:bCs/>
          <w:color w:val="1A1A2E"/>
          <w:sz w:val="21"/>
          <w:szCs w:val="21"/>
        </w:rPr>
        <w:t xml:space="preserve">Shiyam Sundar — CEO. </w:t>
      </w:r>
      <w:r>
        <w:rPr>
          <w:rFonts w:ascii="Calibri" w:cs="Calibri" w:eastAsia="Calibri" w:hAnsi="Calibri"/>
          <w:color w:val="1A1A2E"/>
          <w:sz w:val="21"/>
          <w:szCs w:val="21"/>
        </w:rPr>
        <w:t xml:space="preserve">Built TripleDart from $0 → $7M ARR as a demand-gen agency; ran 500+ campaigns for B2B SaaS across TripleDart, Remote.com, Freshworks, and Zoho. Founded Slate on the infrastructure he couldn't buy. </w:t>
      </w:r>
      <w:r>
        <w:rPr>
          <w:rFonts w:ascii="Calibri" w:cs="Calibri" w:eastAsia="Calibri" w:hAnsi="Calibri"/>
          <w:b/>
          <w:bCs/>
          <w:color w:val="1A1A2E"/>
          <w:sz w:val="21"/>
          <w:szCs w:val="21"/>
        </w:rPr>
        <w:t xml:space="preserve">Joe Kurian — CPO. </w:t>
      </w:r>
      <w:r>
        <w:rPr>
          <w:rFonts w:ascii="Calibri" w:cs="Calibri" w:eastAsia="Calibri" w:hAnsi="Calibri"/>
          <w:color w:val="1A1A2E"/>
          <w:sz w:val="21"/>
          <w:szCs w:val="21"/>
        </w:rPr>
        <w:t xml:space="preserve">Plus the first 3–5 hires (founding engineer, GTM lead, design).</w:t>
      </w:r>
    </w:p>
    <w:p>
      <w:pPr>
        <w:spacing w:after="140" w:line="288"/>
      </w:pPr>
      <w:r>
        <w:rPr>
          <w:rFonts w:ascii="Calibri" w:cs="Calibri" w:eastAsia="Calibri" w:hAnsi="Calibri"/>
          <w:color w:val="1A1A2E"/>
          <w:sz w:val="21"/>
          <w:szCs w:val="21"/>
        </w:rPr>
        <w:t xml:space="preserve">The edge: this team has been the autonomous marketing colleague, by hand, for ten years. They know which plays work and which quietly burn a quarter — and those plays are Slate's defaults on day one.</w:t>
      </w:r>
    </w:p>
    <w:p>
      <w:pPr>
        <w:pStyle w:val="Heading1"/>
        <w:spacing w:after="120" w:before="320"/>
      </w:pPr>
      <w:r>
        <w:rPr>
          <w:rFonts w:ascii="Calibri" w:cs="Calibri" w:eastAsia="Calibri" w:hAnsi="Calibri"/>
          <w:b/>
          <w:bCs/>
          <w:color w:val="1A1A2E"/>
          <w:sz w:val="30"/>
          <w:szCs w:val="30"/>
        </w:rPr>
        <w:t xml:space="preserve">The ask</w:t>
      </w:r>
    </w:p>
    <w:p>
      <w:pPr>
        <w:spacing w:after="140" w:line="288"/>
      </w:pPr>
      <w:r>
        <w:rPr>
          <w:rFonts w:ascii="Calibri" w:cs="Calibri" w:eastAsia="Calibri" w:hAnsi="Calibri"/>
          <w:color w:val="1A1A2E"/>
          <w:sz w:val="21"/>
          <w:szCs w:val="21"/>
        </w:rPr>
        <w:t xml:space="preserve">Raising </w:t>
      </w:r>
      <w:r>
        <w:rPr>
          <w:rFonts w:ascii="Calibri" w:cs="Calibri" w:eastAsia="Calibri" w:hAnsi="Calibri"/>
          <w:b/>
          <w:bCs/>
          <w:color w:val="1A1A2E"/>
          <w:sz w:val="21"/>
          <w:szCs w:val="21"/>
        </w:rPr>
        <w:t xml:space="preserve">$4–5M</w:t>
      </w:r>
      <w:r>
        <w:rPr>
          <w:rFonts w:ascii="Calibri" w:cs="Calibri" w:eastAsia="Calibri" w:hAnsi="Calibri"/>
          <w:color w:val="1A1A2E"/>
          <w:sz w:val="21"/>
          <w:szCs w:val="21"/>
        </w:rPr>
        <w:t xml:space="preserve"> to own the marketing-infrastructure layer.</w:t>
      </w:r>
    </w:p>
    <w:tbl>
      <w:tblPr>
        <w:tblW w:type="dxa" w:w="9360"/>
        <w:tblBorders>
          <w:top w:val="single" w:color="D5D8E0" w:sz="4"/>
          <w:left w:val="none"/>
          <w:bottom w:val="single" w:color="D5D8E0" w:sz="4"/>
          <w:right w:val="none"/>
          <w:insideH w:val="single" w:color="D5D8E0" w:sz="4"/>
          <w:insideV w:val="none"/>
        </w:tblBorders>
      </w:tblPr>
      <w:tblGrid>
        <w:gridCol w:w="1900"/>
        <w:gridCol w:w="900"/>
        <w:gridCol w:w="6560"/>
      </w:tblGrid>
      <w:tr>
        <w:trPr>
          <w:tblHeader/>
        </w:trPr>
        <w:tc>
          <w:tcPr>
            <w:tcW w:type="dxa" w:w="1900"/>
            <w:shd w:fill="F2F4FA" w:color="auto" w:val="clear"/>
            <w:tcMar>
              <w:top w:type="dxa" w:w="60"/>
              <w:left w:type="dxa" w:w="100"/>
              <w:bottom w:type="dxa" w:w="60"/>
              <w:right w:type="dxa" w:w="100"/>
            </w:tcMar>
          </w:tcPr>
          <w:p>
            <w:pPr>
              <w:spacing w:after="0"/>
            </w:pPr>
            <w:r>
              <w:rPr>
                <w:rFonts w:ascii="Calibri" w:cs="Calibri" w:eastAsia="Calibri" w:hAnsi="Calibri"/>
                <w:b/>
                <w:bCs/>
                <w:color w:val="3B4ED6"/>
                <w:sz w:val="19"/>
                <w:szCs w:val="19"/>
              </w:rPr>
              <w:t xml:space="preserve">Allocation</w:t>
            </w:r>
          </w:p>
        </w:tc>
        <w:tc>
          <w:tcPr>
            <w:tcW w:type="dxa" w:w="900"/>
            <w:shd w:fill="F2F4FA" w:color="auto" w:val="clear"/>
            <w:tcMar>
              <w:top w:type="dxa" w:w="60"/>
              <w:left w:type="dxa" w:w="100"/>
              <w:bottom w:type="dxa" w:w="60"/>
              <w:right w:type="dxa" w:w="100"/>
            </w:tcMar>
          </w:tcPr>
          <w:p>
            <w:pPr>
              <w:spacing w:after="0"/>
            </w:pPr>
            <w:r>
              <w:rPr>
                <w:rFonts w:ascii="Calibri" w:cs="Calibri" w:eastAsia="Calibri" w:hAnsi="Calibri"/>
                <w:b/>
                <w:bCs/>
                <w:color w:val="3B4ED6"/>
                <w:sz w:val="19"/>
                <w:szCs w:val="19"/>
              </w:rPr>
              <w:t xml:space="preserve">%</w:t>
            </w:r>
          </w:p>
        </w:tc>
        <w:tc>
          <w:tcPr>
            <w:tcW w:type="dxa" w:w="6560"/>
            <w:shd w:fill="F2F4FA" w:color="auto" w:val="clear"/>
            <w:tcMar>
              <w:top w:type="dxa" w:w="60"/>
              <w:left w:type="dxa" w:w="100"/>
              <w:bottom w:type="dxa" w:w="60"/>
              <w:right w:type="dxa" w:w="100"/>
            </w:tcMar>
          </w:tcPr>
          <w:p>
            <w:pPr>
              <w:spacing w:after="0"/>
            </w:pPr>
            <w:r>
              <w:rPr>
                <w:rFonts w:ascii="Calibri" w:cs="Calibri" w:eastAsia="Calibri" w:hAnsi="Calibri"/>
                <w:b/>
                <w:bCs/>
                <w:color w:val="3B4ED6"/>
                <w:sz w:val="19"/>
                <w:szCs w:val="19"/>
              </w:rPr>
              <w:t xml:space="preserve">What it unlocks</w:t>
            </w:r>
          </w:p>
        </w:tc>
      </w:tr>
      <w:tr>
        <w:trPr>
          <w:tblHeader w:val="false"/>
        </w:trPr>
        <w:tc>
          <w:tcPr>
            <w:tcW w:type="dxa" w:w="1900"/>
            <w:tcMar>
              <w:top w:type="dxa" w:w="60"/>
              <w:left w:type="dxa" w:w="100"/>
              <w:bottom w:type="dxa" w:w="60"/>
              <w:right w:type="dxa" w:w="100"/>
            </w:tcMar>
          </w:tcPr>
          <w:p>
            <w:pPr>
              <w:spacing w:after="0"/>
            </w:pPr>
            <w:r>
              <w:rPr>
                <w:rFonts w:ascii="Calibri" w:cs="Calibri" w:eastAsia="Calibri" w:hAnsi="Calibri"/>
                <w:b/>
                <w:bCs/>
                <w:color w:val="1A1A2E"/>
                <w:sz w:val="20"/>
                <w:szCs w:val="20"/>
              </w:rPr>
              <w:t xml:space="preserve">Product &amp; Engineering</w:t>
            </w:r>
          </w:p>
        </w:tc>
        <w:tc>
          <w:tcPr>
            <w:tcW w:type="dxa" w:w="900"/>
            <w:tcMar>
              <w:top w:type="dxa" w:w="60"/>
              <w:left w:type="dxa" w:w="100"/>
              <w:bottom w:type="dxa" w:w="60"/>
              <w:right w:type="dxa" w:w="100"/>
            </w:tcMar>
          </w:tcPr>
          <w:p>
            <w:pPr>
              <w:spacing w:after="0"/>
            </w:pPr>
            <w:r>
              <w:rPr>
                <w:rFonts w:ascii="Calibri" w:cs="Calibri" w:eastAsia="Calibri" w:hAnsi="Calibri"/>
                <w:color w:val="1A1A2E"/>
                <w:sz w:val="20"/>
                <w:szCs w:val="20"/>
              </w:rPr>
              <w:t xml:space="preserve">45%</w:t>
            </w:r>
          </w:p>
        </w:tc>
        <w:tc>
          <w:tcPr>
            <w:tcW w:type="dxa" w:w="6560"/>
            <w:tcMar>
              <w:top w:type="dxa" w:w="60"/>
              <w:left w:type="dxa" w:w="100"/>
              <w:bottom w:type="dxa" w:w="60"/>
              <w:right w:type="dxa" w:w="100"/>
            </w:tcMar>
          </w:tcPr>
          <w:p>
            <w:pPr>
              <w:spacing w:after="0"/>
            </w:pPr>
            <w:r>
              <w:rPr>
                <w:rFonts w:ascii="Calibri" w:cs="Calibri" w:eastAsia="Calibri" w:hAnsi="Calibri"/>
                <w:color w:val="1A1A2E"/>
                <w:sz w:val="20"/>
                <w:szCs w:val="20"/>
              </w:rPr>
              <w:t xml:space="preserve">Skills library (Paid, CRO, Lifecycle); BYO-agent surface / MCP maturity</w:t>
            </w:r>
          </w:p>
        </w:tc>
      </w:tr>
      <w:tr>
        <w:trPr>
          <w:tblHeader w:val="false"/>
        </w:trPr>
        <w:tc>
          <w:tcPr>
            <w:tcW w:type="dxa" w:w="1900"/>
            <w:tcMar>
              <w:top w:type="dxa" w:w="60"/>
              <w:left w:type="dxa" w:w="100"/>
              <w:bottom w:type="dxa" w:w="60"/>
              <w:right w:type="dxa" w:w="100"/>
            </w:tcMar>
          </w:tcPr>
          <w:p>
            <w:pPr>
              <w:spacing w:after="0"/>
            </w:pPr>
            <w:r>
              <w:rPr>
                <w:rFonts w:ascii="Calibri" w:cs="Calibri" w:eastAsia="Calibri" w:hAnsi="Calibri"/>
                <w:b/>
                <w:bCs/>
                <w:color w:val="1A1A2E"/>
                <w:sz w:val="20"/>
                <w:szCs w:val="20"/>
              </w:rPr>
              <w:t xml:space="preserve">GTM &amp; founder-led sales</w:t>
            </w:r>
          </w:p>
        </w:tc>
        <w:tc>
          <w:tcPr>
            <w:tcW w:type="dxa" w:w="900"/>
            <w:tcMar>
              <w:top w:type="dxa" w:w="60"/>
              <w:left w:type="dxa" w:w="100"/>
              <w:bottom w:type="dxa" w:w="60"/>
              <w:right w:type="dxa" w:w="100"/>
            </w:tcMar>
          </w:tcPr>
          <w:p>
            <w:pPr>
              <w:spacing w:after="0"/>
            </w:pPr>
            <w:r>
              <w:rPr>
                <w:rFonts w:ascii="Calibri" w:cs="Calibri" w:eastAsia="Calibri" w:hAnsi="Calibri"/>
                <w:color w:val="1A1A2E"/>
                <w:sz w:val="20"/>
                <w:szCs w:val="20"/>
              </w:rPr>
              <w:t xml:space="preserve">30%</w:t>
            </w:r>
          </w:p>
        </w:tc>
        <w:tc>
          <w:tcPr>
            <w:tcW w:type="dxa" w:w="6560"/>
            <w:tcMar>
              <w:top w:type="dxa" w:w="60"/>
              <w:left w:type="dxa" w:w="100"/>
              <w:bottom w:type="dxa" w:w="60"/>
              <w:right w:type="dxa" w:w="100"/>
            </w:tcMar>
          </w:tcPr>
          <w:p>
            <w:pPr>
              <w:spacing w:after="0"/>
            </w:pPr>
            <w:r>
              <w:rPr>
                <w:rFonts w:ascii="Calibri" w:cs="Calibri" w:eastAsia="Calibri" w:hAnsi="Calibri"/>
                <w:color w:val="1A1A2E"/>
                <w:sz w:val="20"/>
                <w:szCs w:val="20"/>
              </w:rPr>
              <w:t xml:space="preserve">Founding growth hires, mid-market demand gen, category-defining content</w:t>
            </w:r>
          </w:p>
        </w:tc>
      </w:tr>
      <w:tr>
        <w:trPr>
          <w:tblHeader w:val="false"/>
        </w:trPr>
        <w:tc>
          <w:tcPr>
            <w:tcW w:type="dxa" w:w="1900"/>
            <w:tcMar>
              <w:top w:type="dxa" w:w="60"/>
              <w:left w:type="dxa" w:w="100"/>
              <w:bottom w:type="dxa" w:w="60"/>
              <w:right w:type="dxa" w:w="100"/>
            </w:tcMar>
          </w:tcPr>
          <w:p>
            <w:pPr>
              <w:spacing w:after="0"/>
            </w:pPr>
            <w:r>
              <w:rPr>
                <w:rFonts w:ascii="Calibri" w:cs="Calibri" w:eastAsia="Calibri" w:hAnsi="Calibri"/>
                <w:b/>
                <w:bCs/>
                <w:color w:val="1A1A2E"/>
                <w:sz w:val="20"/>
                <w:szCs w:val="20"/>
              </w:rPr>
              <w:t xml:space="preserve">Customer success</w:t>
            </w:r>
          </w:p>
        </w:tc>
        <w:tc>
          <w:tcPr>
            <w:tcW w:type="dxa" w:w="900"/>
            <w:tcMar>
              <w:top w:type="dxa" w:w="60"/>
              <w:left w:type="dxa" w:w="100"/>
              <w:bottom w:type="dxa" w:w="60"/>
              <w:right w:type="dxa" w:w="100"/>
            </w:tcMar>
          </w:tcPr>
          <w:p>
            <w:pPr>
              <w:spacing w:after="0"/>
            </w:pPr>
            <w:r>
              <w:rPr>
                <w:rFonts w:ascii="Calibri" w:cs="Calibri" w:eastAsia="Calibri" w:hAnsi="Calibri"/>
                <w:color w:val="1A1A2E"/>
                <w:sz w:val="20"/>
                <w:szCs w:val="20"/>
              </w:rPr>
              <w:t xml:space="preserve">15%</w:t>
            </w:r>
          </w:p>
        </w:tc>
        <w:tc>
          <w:tcPr>
            <w:tcW w:type="dxa" w:w="6560"/>
            <w:tcMar>
              <w:top w:type="dxa" w:w="60"/>
              <w:left w:type="dxa" w:w="100"/>
              <w:bottom w:type="dxa" w:w="60"/>
              <w:right w:type="dxa" w:w="100"/>
            </w:tcMar>
          </w:tcPr>
          <w:p>
            <w:pPr>
              <w:spacing w:after="0"/>
            </w:pPr>
            <w:r>
              <w:rPr>
                <w:rFonts w:ascii="Calibri" w:cs="Calibri" w:eastAsia="Calibri" w:hAnsi="Calibri"/>
                <w:color w:val="1A1A2E"/>
                <w:sz w:val="20"/>
                <w:szCs w:val="20"/>
              </w:rPr>
              <w:t xml:space="preserve">White-glove onboarding for the first 100 accounts — depth over logos</w:t>
            </w:r>
          </w:p>
        </w:tc>
      </w:tr>
      <w:tr>
        <w:trPr>
          <w:tblHeader w:val="false"/>
        </w:trPr>
        <w:tc>
          <w:tcPr>
            <w:tcW w:type="dxa" w:w="1900"/>
            <w:tcMar>
              <w:top w:type="dxa" w:w="60"/>
              <w:left w:type="dxa" w:w="100"/>
              <w:bottom w:type="dxa" w:w="60"/>
              <w:right w:type="dxa" w:w="100"/>
            </w:tcMar>
          </w:tcPr>
          <w:p>
            <w:pPr>
              <w:spacing w:after="0"/>
            </w:pPr>
            <w:r>
              <w:rPr>
                <w:rFonts w:ascii="Calibri" w:cs="Calibri" w:eastAsia="Calibri" w:hAnsi="Calibri"/>
                <w:b/>
                <w:bCs/>
                <w:color w:val="1A1A2E"/>
                <w:sz w:val="20"/>
                <w:szCs w:val="20"/>
              </w:rPr>
              <w:t xml:space="preserve">Ops &amp; reserves</w:t>
            </w:r>
          </w:p>
        </w:tc>
        <w:tc>
          <w:tcPr>
            <w:tcW w:type="dxa" w:w="900"/>
            <w:tcMar>
              <w:top w:type="dxa" w:w="60"/>
              <w:left w:type="dxa" w:w="100"/>
              <w:bottom w:type="dxa" w:w="60"/>
              <w:right w:type="dxa" w:w="100"/>
            </w:tcMar>
          </w:tcPr>
          <w:p>
            <w:pPr>
              <w:spacing w:after="0"/>
            </w:pPr>
            <w:r>
              <w:rPr>
                <w:rFonts w:ascii="Calibri" w:cs="Calibri" w:eastAsia="Calibri" w:hAnsi="Calibri"/>
                <w:color w:val="1A1A2E"/>
                <w:sz w:val="20"/>
                <w:szCs w:val="20"/>
              </w:rPr>
              <w:t xml:space="preserve">10%</w:t>
            </w:r>
          </w:p>
        </w:tc>
        <w:tc>
          <w:tcPr>
            <w:tcW w:type="dxa" w:w="6560"/>
            <w:tcMar>
              <w:top w:type="dxa" w:w="60"/>
              <w:left w:type="dxa" w:w="100"/>
              <w:bottom w:type="dxa" w:w="60"/>
              <w:right w:type="dxa" w:w="100"/>
            </w:tcMar>
          </w:tcPr>
          <w:p>
            <w:pPr>
              <w:spacing w:after="0"/>
            </w:pPr>
            <w:r>
              <w:rPr>
                <w:rFonts w:ascii="Calibri" w:cs="Calibri" w:eastAsia="Calibri" w:hAnsi="Calibri"/>
                <w:color w:val="1A1A2E"/>
                <w:sz w:val="20"/>
                <w:szCs w:val="20"/>
              </w:rPr>
              <w:t xml:space="preserve">24-month runway floor</w:t>
            </w:r>
          </w:p>
        </w:tc>
      </w:tr>
    </w:tbl>
    <w:p>
      <w:pPr>
        <w:spacing w:after="60" w:before="160"/>
      </w:pPr>
      <w:r>
        <w:rPr>
          <w:rFonts w:ascii="Calibri" w:cs="Calibri" w:eastAsia="Calibri" w:hAnsi="Calibri"/>
          <w:b/>
          <w:bCs/>
          <w:color w:val="1A1A2E"/>
          <w:sz w:val="21"/>
          <w:szCs w:val="21"/>
        </w:rPr>
        <w:t xml:space="preserve">Milestones this funds:</w:t>
      </w:r>
    </w:p>
    <w:p>
      <w:pPr>
        <w:pStyle w:val="ListParagraph"/>
        <w:numPr>
          <w:ilvl w:val="0"/>
          <w:numId w:val="3"/>
        </w:numPr>
        <w:spacing w:after="80" w:line="288"/>
      </w:pPr>
      <w:r>
        <w:rPr>
          <w:rFonts w:ascii="Calibri" w:cs="Calibri" w:eastAsia="Calibri" w:hAnsi="Calibri"/>
          <w:color w:val="1A1A2E"/>
          <w:sz w:val="21"/>
          <w:szCs w:val="21"/>
        </w:rPr>
        <w:t xml:space="preserve">$3–4M ARR in 12 months from ≤100 customers</w:t>
      </w:r>
    </w:p>
    <w:p>
      <w:pPr>
        <w:pStyle w:val="ListParagraph"/>
        <w:numPr>
          <w:ilvl w:val="0"/>
          <w:numId w:val="3"/>
        </w:numPr>
        <w:spacing w:after="80" w:line="288"/>
      </w:pPr>
      <w:r>
        <w:rPr>
          <w:rFonts w:ascii="Calibri" w:cs="Calibri" w:eastAsia="Calibri" w:hAnsi="Calibri"/>
          <w:color w:val="1A1A2E"/>
          <w:sz w:val="21"/>
          <w:szCs w:val="21"/>
        </w:rPr>
        <w:t xml:space="preserve">30 accounts with 50%+ of executed marketing work owned by Slate at 90% approval</w:t>
      </w:r>
    </w:p>
    <w:p>
      <w:pPr>
        <w:pStyle w:val="ListParagraph"/>
        <w:numPr>
          <w:ilvl w:val="0"/>
          <w:numId w:val="3"/>
        </w:numPr>
        <w:spacing w:after="80" w:line="288"/>
      </w:pPr>
      <w:r>
        <w:rPr>
          <w:rFonts w:ascii="Calibri" w:cs="Calibri" w:eastAsia="Calibri" w:hAnsi="Calibri"/>
          <w:color w:val="1A1A2E"/>
          <w:sz w:val="21"/>
          <w:szCs w:val="21"/>
        </w:rPr>
        <w:t xml:space="preserve">Layer-2 skill packs adopted by 40% of base</w:t>
      </w:r>
    </w:p>
    <w:p>
      <w:pPr>
        <w:pStyle w:val="ListParagraph"/>
        <w:numPr>
          <w:ilvl w:val="0"/>
          <w:numId w:val="3"/>
        </w:numPr>
        <w:spacing w:after="80" w:line="288"/>
      </w:pPr>
      <w:r>
        <w:rPr>
          <w:rFonts w:ascii="Calibri" w:cs="Calibri" w:eastAsia="Calibri" w:hAnsi="Calibri"/>
          <w:color w:val="1A1A2E"/>
          <w:sz w:val="21"/>
          <w:szCs w:val="21"/>
        </w:rPr>
        <w:t xml:space="preserve">5+ external agent frameworks integrated</w:t>
      </w:r>
    </w:p>
    <w:p>
      <w:pPr>
        <w:pStyle w:val="Heading1"/>
        <w:spacing w:after="120" w:before="320"/>
      </w:pPr>
      <w:r>
        <w:rPr>
          <w:rFonts w:ascii="Calibri" w:cs="Calibri" w:eastAsia="Calibri" w:hAnsi="Calibri"/>
          <w:b/>
          <w:bCs/>
          <w:color w:val="1A1A2E"/>
          <w:sz w:val="30"/>
          <w:szCs w:val="30"/>
        </w:rPr>
        <w:t xml:space="preserve">The bet</w:t>
      </w:r>
    </w:p>
    <w:p>
      <w:pPr>
        <w:spacing w:after="140" w:line="288"/>
      </w:pPr>
      <w:r>
        <w:rPr>
          <w:rFonts w:ascii="Calibri" w:cs="Calibri" w:eastAsia="Calibri" w:hAnsi="Calibri"/>
          <w:color w:val="1A1A2E"/>
          <w:sz w:val="21"/>
          <w:szCs w:val="21"/>
        </w:rPr>
        <w:t xml:space="preserve">The reasoning gap between models is closing; the context gap is widening. Whoever owns marketing's control plane owns the category — and the memory graph makes that ownership compound rather than erode. Slate is early enough to enter at the wedge (AI-search visibility, a channel that just broke open) and structured to expand across the entire $60B marketing-ops stack from a single, defensible foothold. That combination — an early, capital-efficient entry into a budget that is actively moving, behind a moat that gets stronger with use — is the shape of a company that gets to $100M quickly and stays there.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Slate — Investor Write-Up</dc:title>
  <dc:creator>Slate</dc:creator>
  <cp:lastModifiedBy>Un-named</cp:lastModifiedBy>
  <cp:revision>1</cp:revision>
  <dcterms:created xsi:type="dcterms:W3CDTF">2026-09-16T15:31:52.061Z</dcterms:created>
  <dcterms:modified xsi:type="dcterms:W3CDTF">2026-09-16T15:31:52.061Z</dcterms:modified>
</cp:coreProperties>
</file>

<file path=docProps/custom.xml><?xml version="1.0" encoding="utf-8"?>
<Properties xmlns="http://schemas.openxmlformats.org/officeDocument/2006/custom-properties" xmlns:vt="http://schemas.openxmlformats.org/officeDocument/2006/docPropsVTypes"/>
</file>