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160"/>
      </w:pPr>
    </w:p>
    <w:p>
      <w:pPr>
        <w:jc w:val="center"/>
      </w:pPr>
      <w:r>
        <w:rPr>
          <w:rFonts w:ascii="PingFang SC" w:hAnsi="PingFang SC" w:eastAsia="PingFang SC" w:cs="PingFang SC"/>
          <w:b/>
          <w:color w:val="8A6A18"/>
          <w:sz w:val="26"/>
        </w:rPr>
        <w:t>计算机软件著作权登记技术文档</w:t>
      </w:r>
    </w:p>
    <w:p>
      <w:pPr>
        <w:pStyle w:val="Title"/>
      </w:pPr>
      <w:r>
        <w:t>SuperD Supervisor进程管理平台软件</w:t>
      </w:r>
    </w:p>
    <w:p>
      <w:pPr>
        <w:pStyle w:val="Subtitle"/>
      </w:pPr>
      <w:r>
        <w:t>软件说明书（设计说明书及用户操作手册）</w:t>
      </w:r>
    </w:p>
    <w:p>
      <w:pPr>
        <w:spacing w:before="240" w:after="1720"/>
        <w:jc w:val="center"/>
      </w:pPr>
      <w:r>
        <w:rPr>
          <w:rFonts w:ascii="PingFang SC" w:hAnsi="PingFang SC" w:eastAsia="PingFang SC" w:cs="PingFang SC"/>
          <w:b/>
          <w:color w:val="2F6B5F"/>
          <w:sz w:val="36"/>
        </w:rPr>
        <w:t>V1.0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PingFang SC" w:hAnsi="PingFang SC" w:eastAsia="PingFang SC" w:cs="PingFang SC"/>
                <w:b/>
                <w:color w:val="1F4D78"/>
                <w:sz w:val="21"/>
              </w:rPr>
              <w:t>软件著作权人</w:t>
            </w:r>
          </w:p>
        </w:tc>
        <w:tc>
          <w:tcPr>
            <w:tcW w:type="dxa" w:w="666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 w:cs="宋体"/>
                <w:color w:val="172B3A"/>
                <w:sz w:val="21"/>
              </w:rPr>
              <w:t>北京胤康科技有限公司</w:t>
            </w:r>
          </w:p>
        </w:tc>
      </w:tr>
      <w:tr>
        <w:tc>
          <w:tcPr>
            <w:tcW w:type="dxa" w:w="270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PingFang SC" w:hAnsi="PingFang SC" w:eastAsia="PingFang SC" w:cs="PingFang SC"/>
                <w:b/>
                <w:color w:val="1F4D78"/>
                <w:sz w:val="21"/>
              </w:rPr>
              <w:t>软件版本号</w:t>
            </w:r>
          </w:p>
        </w:tc>
        <w:tc>
          <w:tcPr>
            <w:tcW w:type="dxa" w:w="666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 w:cs="宋体"/>
                <w:color w:val="172B3A"/>
                <w:sz w:val="21"/>
              </w:rPr>
              <w:t>V1.0</w:t>
            </w:r>
          </w:p>
        </w:tc>
      </w:tr>
      <w:tr>
        <w:tc>
          <w:tcPr>
            <w:tcW w:type="dxa" w:w="270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PingFang SC" w:hAnsi="PingFang SC" w:eastAsia="PingFang SC" w:cs="PingFang SC"/>
                <w:b/>
                <w:color w:val="1F4D78"/>
                <w:sz w:val="21"/>
              </w:rPr>
              <w:t>文档类别</w:t>
            </w:r>
          </w:p>
        </w:tc>
        <w:tc>
          <w:tcPr>
            <w:tcW w:type="dxa" w:w="666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 w:cs="宋体"/>
                <w:color w:val="172B3A"/>
                <w:sz w:val="21"/>
              </w:rPr>
              <w:t>软件鉴别材料 / 技术说明文档</w:t>
            </w:r>
          </w:p>
        </w:tc>
      </w:tr>
      <w:tr>
        <w:tc>
          <w:tcPr>
            <w:tcW w:type="dxa" w:w="270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PingFang SC" w:hAnsi="PingFang SC" w:eastAsia="PingFang SC" w:cs="PingFang SC"/>
                <w:b/>
                <w:color w:val="1F4D78"/>
                <w:sz w:val="21"/>
              </w:rPr>
              <w:t>编制日期</w:t>
            </w:r>
          </w:p>
        </w:tc>
        <w:tc>
          <w:tcPr>
            <w:tcW w:type="dxa" w:w="666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 w:cs="宋体"/>
                <w:color w:val="172B3A"/>
                <w:sz w:val="21"/>
              </w:rPr>
              <w:t>2026年8月28日</w:t>
            </w:r>
          </w:p>
        </w:tc>
      </w:tr>
      <w:tr>
        <w:tc>
          <w:tcPr>
            <w:tcW w:type="dxa" w:w="270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PingFang SC" w:hAnsi="PingFang SC" w:eastAsia="PingFang SC" w:cs="PingFang SC"/>
                <w:b/>
                <w:color w:val="1F4D78"/>
                <w:sz w:val="21"/>
              </w:rPr>
              <w:t>文档状态</w:t>
            </w:r>
          </w:p>
        </w:tc>
        <w:tc>
          <w:tcPr>
            <w:tcW w:type="dxa" w:w="666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 w:cs="宋体"/>
                <w:color w:val="172B3A"/>
                <w:sz w:val="21"/>
              </w:rPr>
              <w:t>登记申请稿（主体信息待申请人核定）</w:t>
            </w:r>
          </w:p>
        </w:tc>
      </w:tr>
    </w:tbl>
    <w:p>
      <w:pPr>
        <w:spacing w:after="0"/>
      </w:pPr>
    </w:p>
    <w:p>
      <w:pPr>
        <w:spacing w:before="560"/>
        <w:jc w:val="center"/>
      </w:pPr>
      <w:r>
        <w:rPr>
          <w:rFonts w:ascii="宋体" w:hAnsi="宋体" w:eastAsia="宋体" w:cs="宋体"/>
          <w:b/>
          <w:color w:val="5F6B76"/>
          <w:sz w:val="24"/>
        </w:rPr>
        <w:t>北京胤康科技有限公司</w:t>
      </w:r>
    </w:p>
    <w:p>
      <w:pPr>
        <w:sectPr>
          <w:headerReference w:type="default" r:id="rId9"/>
          <w:footerReference w:type="default" r:id="rId10"/>
          <w:pgSz w:w="11906" w:h="16838"/>
          <w:pgMar w:top="1134" w:right="1273" w:bottom="1134" w:left="1273" w:header="706" w:footer="706" w:gutter="0"/>
          <w:cols w:space="720"/>
          <w:docGrid w:linePitch="360"/>
        </w:sectPr>
      </w:pPr>
    </w:p>
    <w:p>
      <w:pPr>
        <w:pStyle w:val="Heading1"/>
      </w:pPr>
      <w:r>
        <w:rPr>
          <w:rFonts w:ascii="PingFang SC" w:hAnsi="PingFang SC" w:eastAsia="PingFang SC" w:cs="PingFang SC"/>
          <w:b/>
          <w:color w:val="2E74B5"/>
          <w:sz w:val="32"/>
        </w:rPr>
        <w:t>文档控制信息</w:t>
      </w:r>
    </w:p>
    <w:p>
      <w:pPr>
        <w:spacing w:after="120" w:line="300" w:lineRule="auto"/>
        <w:ind w:firstLine="420"/>
        <w:jc w:val="both"/>
      </w:pPr>
      <w:r>
        <w:rPr>
          <w:rFonts w:ascii="宋体" w:hAnsi="宋体" w:eastAsia="宋体" w:cs="宋体"/>
          <w:color w:val="172B3A"/>
          <w:sz w:val="22"/>
        </w:rPr>
        <w:t>本说明书依据SuperD项目当前仓库中的前端、后端、数据库初始化脚本、接口说明和部署配置编制，用于说明软件的开发目的、总体结构、主要功能、数据设计、运行环境、操作方法和安全机制。文档内容只陈述能够从项目材料核实的技术事实；著作权人和开发完成日期等客观信息由申请人最终核定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1800"/>
        <w:gridCol w:w="3000"/>
        <w:gridCol w:w="3360"/>
      </w:tblGrid>
      <w:tr>
        <w:trPr>
          <w:tblHeader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PingFang SC" w:hAnsi="PingFang SC" w:eastAsia="PingFang SC" w:cs="PingFang SC"/>
                <w:b/>
                <w:color w:val="1F4D78"/>
                <w:sz w:val="19"/>
              </w:rPr>
              <w:t>版本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PingFang SC" w:hAnsi="PingFang SC" w:eastAsia="PingFang SC" w:cs="PingFang SC"/>
                <w:b/>
                <w:color w:val="1F4D78"/>
                <w:sz w:val="19"/>
              </w:rPr>
              <w:t>日期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PingFang SC" w:hAnsi="PingFang SC" w:eastAsia="PingFang SC" w:cs="PingFang SC"/>
                <w:b/>
                <w:color w:val="1F4D78"/>
                <w:sz w:val="19"/>
              </w:rPr>
              <w:t>编制依据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PingFang SC" w:hAnsi="PingFang SC" w:eastAsia="PingFang SC" w:cs="PingFang SC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120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color w:val="172B3A"/>
                <w:sz w:val="19"/>
              </w:rPr>
              <w:t>V1.0</w:t>
            </w:r>
          </w:p>
        </w:tc>
        <w:tc>
          <w:tcPr>
            <w:tcW w:type="dxa" w:w="1800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9"/>
              </w:rPr>
              <w:t>2026年8月28日</w:t>
            </w:r>
          </w:p>
        </w:tc>
        <w:tc>
          <w:tcPr>
            <w:tcW w:type="dxa" w:w="3000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9"/>
              </w:rPr>
              <w:t>SuperD当前项目仓库</w:t>
            </w:r>
          </w:p>
        </w:tc>
        <w:tc>
          <w:tcPr>
            <w:tcW w:type="dxa" w:w="3360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9"/>
              </w:rPr>
              <w:t>首次形成软件著作权登记说明书</w:t>
            </w:r>
          </w:p>
        </w:tc>
      </w:tr>
    </w:tbl>
    <w:p>
      <w:pPr>
        <w:spacing w:after="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6"/>
          </w:tcPr>
          <w:p>
            <w:pPr>
              <w:spacing w:after="0"/>
            </w:pPr>
            <w:r>
              <w:rPr>
                <w:rFonts w:ascii="PingFang SC" w:hAnsi="PingFang SC" w:eastAsia="PingFang SC" w:cs="PingFang SC"/>
                <w:b/>
                <w:color w:val="8A6A18"/>
                <w:sz w:val="21"/>
              </w:rPr>
              <w:t>交存说明：</w:t>
            </w:r>
            <w:r>
              <w:rPr>
                <w:rFonts w:ascii="宋体" w:hAnsi="宋体" w:eastAsia="宋体" w:cs="宋体"/>
                <w:color w:val="172B3A"/>
                <w:sz w:val="21"/>
              </w:rPr>
              <w:t>本说明书是登记所需的“文档鉴别材料”，按A4纵向编排，页眉统一标注软件全称和版本号，正文页连续编号；不足60页提交全部。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PingFang SC" w:hAnsi="PingFang SC" w:eastAsia="PingFang SC" w:cs="PingFang SC"/>
          <w:b/>
          <w:color w:val="2E74B5"/>
          <w:sz w:val="32"/>
        </w:rPr>
        <w:t>内容目录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宋体" w:hAnsi="宋体" w:eastAsia="宋体" w:cs="宋体"/>
          <w:color w:val="172B3A"/>
          <w:sz w:val="22"/>
        </w:rPr>
        <w:t>1 引言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宋体" w:hAnsi="宋体" w:eastAsia="宋体" w:cs="宋体"/>
          <w:color w:val="172B3A"/>
          <w:sz w:val="22"/>
        </w:rPr>
        <w:t>2 软件概述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宋体" w:hAnsi="宋体" w:eastAsia="宋体" w:cs="宋体"/>
          <w:color w:val="172B3A"/>
          <w:sz w:val="22"/>
        </w:rPr>
        <w:t>3 运行环境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宋体" w:hAnsi="宋体" w:eastAsia="宋体" w:cs="宋体"/>
          <w:color w:val="172B3A"/>
          <w:sz w:val="22"/>
        </w:rPr>
        <w:t>4 总体设计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宋体" w:hAnsi="宋体" w:eastAsia="宋体" w:cs="宋体"/>
          <w:color w:val="172B3A"/>
          <w:sz w:val="22"/>
        </w:rPr>
        <w:t>5 功能设计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宋体" w:hAnsi="宋体" w:eastAsia="宋体" w:cs="宋体"/>
          <w:color w:val="172B3A"/>
          <w:sz w:val="22"/>
        </w:rPr>
        <w:t>6 数据设计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宋体" w:hAnsi="宋体" w:eastAsia="宋体" w:cs="宋体"/>
          <w:color w:val="172B3A"/>
          <w:sz w:val="22"/>
        </w:rPr>
        <w:t>7 用户操作说明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宋体" w:hAnsi="宋体" w:eastAsia="宋体" w:cs="宋体"/>
          <w:color w:val="172B3A"/>
          <w:sz w:val="22"/>
        </w:rPr>
        <w:t>8 服务API使用说明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宋体" w:hAnsi="宋体" w:eastAsia="宋体" w:cs="宋体"/>
          <w:color w:val="172B3A"/>
          <w:sz w:val="22"/>
        </w:rPr>
        <w:t>9 安全设计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宋体" w:hAnsi="宋体" w:eastAsia="宋体" w:cs="宋体"/>
          <w:color w:val="172B3A"/>
          <w:sz w:val="22"/>
        </w:rPr>
        <w:t>10 异常处理与日志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宋体" w:hAnsi="宋体" w:eastAsia="宋体" w:cs="宋体"/>
          <w:color w:val="172B3A"/>
          <w:sz w:val="22"/>
        </w:rPr>
        <w:t>11 安装部署与维护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宋体" w:hAnsi="宋体" w:eastAsia="宋体" w:cs="宋体"/>
          <w:color w:val="172B3A"/>
          <w:sz w:val="22"/>
        </w:rPr>
        <w:t>12 测试与验收建议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宋体" w:hAnsi="宋体" w:eastAsia="宋体" w:cs="宋体"/>
          <w:color w:val="172B3A"/>
          <w:sz w:val="22"/>
        </w:rPr>
        <w:t>13 技术特点与独创性说明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宋体" w:hAnsi="宋体" w:eastAsia="宋体" w:cs="宋体"/>
          <w:color w:val="172B3A"/>
          <w:sz w:val="22"/>
        </w:rPr>
        <w:t>附录A 主要接口清单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宋体" w:hAnsi="宋体" w:eastAsia="宋体" w:cs="宋体"/>
          <w:color w:val="172B3A"/>
          <w:sz w:val="22"/>
        </w:rPr>
        <w:t>附录B 功能与源代码对应关系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宋体" w:hAnsi="宋体" w:eastAsia="宋体" w:cs="宋体"/>
          <w:color w:val="172B3A"/>
          <w:sz w:val="22"/>
        </w:rPr>
        <w:t>附录C 界面视图清单</w:t>
      </w:r>
    </w:p>
    <w:p>
      <w:pPr>
        <w:pStyle w:val="Heading1"/>
      </w:pPr>
      <w:r>
        <w:rPr>
          <w:rFonts w:ascii="PingFang SC" w:hAnsi="PingFang SC" w:eastAsia="PingFang SC" w:cs="PingFang SC"/>
          <w:b/>
          <w:color w:val="2E74B5"/>
          <w:sz w:val="32"/>
        </w:rPr>
        <w:t>1 引言</w:t>
      </w:r>
    </w:p>
    <w:p>
      <w:pPr>
        <w:pStyle w:val="Heading2"/>
      </w:pPr>
      <w:r>
        <w:rPr>
          <w:rFonts w:ascii="PingFang SC" w:hAnsi="PingFang SC" w:eastAsia="PingFang SC" w:cs="PingFang SC"/>
          <w:b/>
          <w:color w:val="2E74B5"/>
          <w:sz w:val="26"/>
        </w:rPr>
        <w:t>1.1 编写目的</w:t>
      </w:r>
    </w:p>
    <w:p>
      <w:pPr>
        <w:spacing w:after="120" w:line="300" w:lineRule="auto"/>
        <w:ind w:firstLine="420"/>
        <w:jc w:val="both"/>
      </w:pPr>
      <w:r>
        <w:rPr>
          <w:rFonts w:ascii="宋体" w:hAnsi="宋体" w:eastAsia="宋体" w:cs="宋体"/>
          <w:color w:val="172B3A"/>
          <w:sz w:val="22"/>
        </w:rPr>
        <w:t>本说明书面向软件著作权登记审查、企业知识产权管理、系统部署人员和最终用户，完整描述SuperD软件的设计与使用方式。通过本说明书，读者可以了解软件解决的问题、技术组成、功能边界、用户角色、主要业务流程、数据存储方式和部署条件，并能够按照操作步骤完成登录、进程监控、进程控制、实时日志查看、机器与分组管理、用户授权和服务API令牌管理。</w:t>
      </w:r>
    </w:p>
    <w:p>
      <w:pPr>
        <w:pStyle w:val="Heading2"/>
      </w:pPr>
      <w:r>
        <w:rPr>
          <w:rFonts w:ascii="PingFang SC" w:hAnsi="PingFang SC" w:eastAsia="PingFang SC" w:cs="PingFang SC"/>
          <w:b/>
          <w:color w:val="2E74B5"/>
          <w:sz w:val="26"/>
        </w:rPr>
        <w:t>1.2 软件命名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PingFang SC" w:hAnsi="PingFang SC" w:eastAsia="PingFang SC" w:cs="PingFang SC"/>
                <w:b/>
                <w:color w:val="1F4D78"/>
                <w:sz w:val="19"/>
              </w:rPr>
              <w:t>项目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PingFang SC" w:hAnsi="PingFang SC" w:eastAsia="PingFang SC" w:cs="PingFang SC"/>
                <w:b/>
                <w:color w:val="1F4D78"/>
                <w:sz w:val="19"/>
              </w:rPr>
              <w:t>拟登记内容</w:t>
            </w:r>
          </w:p>
        </w:tc>
      </w:tr>
      <w:tr>
        <w:tc>
          <w:tcPr>
            <w:tcW w:type="dxa" w:w="210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color w:val="172B3A"/>
                <w:sz w:val="19"/>
              </w:rPr>
              <w:t>软件全称</w:t>
            </w:r>
          </w:p>
        </w:tc>
        <w:tc>
          <w:tcPr>
            <w:tcW w:type="dxa" w:w="7260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9"/>
              </w:rPr>
              <w:t>SuperD Supervisor进程管理平台软件</w:t>
            </w:r>
          </w:p>
        </w:tc>
      </w:tr>
      <w:tr>
        <w:tc>
          <w:tcPr>
            <w:tcW w:type="dxa" w:w="2100"/>
            <w:shd w:fill="FAFBFC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color w:val="172B3A"/>
                <w:sz w:val="19"/>
              </w:rPr>
              <w:t>软件简称</w:t>
            </w:r>
          </w:p>
        </w:tc>
        <w:tc>
          <w:tcPr>
            <w:tcW w:type="dxa" w:w="7260"/>
            <w:shd w:fill="FAFBFC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9"/>
              </w:rPr>
              <w:t>SuperD</w:t>
            </w:r>
          </w:p>
        </w:tc>
      </w:tr>
      <w:tr>
        <w:tc>
          <w:tcPr>
            <w:tcW w:type="dxa" w:w="210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color w:val="172B3A"/>
                <w:sz w:val="19"/>
              </w:rPr>
              <w:t>版本号</w:t>
            </w:r>
          </w:p>
        </w:tc>
        <w:tc>
          <w:tcPr>
            <w:tcW w:type="dxa" w:w="7260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9"/>
              </w:rPr>
              <w:t>V1.0</w:t>
            </w:r>
          </w:p>
        </w:tc>
      </w:tr>
      <w:tr>
        <w:tc>
          <w:tcPr>
            <w:tcW w:type="dxa" w:w="2100"/>
            <w:shd w:fill="FAFBFC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color w:val="172B3A"/>
                <w:sz w:val="19"/>
              </w:rPr>
              <w:t>软件类别</w:t>
            </w:r>
          </w:p>
        </w:tc>
        <w:tc>
          <w:tcPr>
            <w:tcW w:type="dxa" w:w="7260"/>
            <w:shd w:fill="FAFBFC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9"/>
              </w:rPr>
              <w:t>应用软件 / 运维管理软件</w:t>
            </w:r>
          </w:p>
        </w:tc>
      </w:tr>
      <w:tr>
        <w:tc>
          <w:tcPr>
            <w:tcW w:type="dxa" w:w="210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color w:val="172B3A"/>
                <w:sz w:val="19"/>
              </w:rPr>
              <w:t>开发团队</w:t>
            </w:r>
          </w:p>
        </w:tc>
        <w:tc>
          <w:tcPr>
            <w:tcW w:type="dxa" w:w="7260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9"/>
              </w:rPr>
              <w:t>由公司运维团队进行开发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PingFang SC" w:hAnsi="PingFang SC" w:eastAsia="PingFang SC" w:cs="PingFang SC"/>
          <w:b/>
          <w:color w:val="2E74B5"/>
          <w:sz w:val="26"/>
        </w:rPr>
        <w:t>1.3 术语和缩略语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PingFang SC" w:hAnsi="PingFang SC" w:eastAsia="PingFang SC" w:cs="PingFang SC"/>
                <w:b/>
                <w:color w:val="1F4D78"/>
                <w:sz w:val="19"/>
              </w:rPr>
              <w:t>术语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PingFang SC" w:hAnsi="PingFang SC" w:eastAsia="PingFang SC" w:cs="PingFang SC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color w:val="172B3A"/>
                <w:sz w:val="19"/>
              </w:rPr>
              <w:t>Supervisor</w:t>
            </w:r>
          </w:p>
        </w:tc>
        <w:tc>
          <w:tcPr>
            <w:tcW w:type="dxa" w:w="7560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9"/>
              </w:rPr>
              <w:t>用于类Unix系统的进程控制系统，通过XML-RPC接口提供进程查询和控制能力。</w:t>
            </w:r>
          </w:p>
        </w:tc>
      </w:tr>
      <w:tr>
        <w:tc>
          <w:tcPr>
            <w:tcW w:type="dxa" w:w="1800"/>
            <w:shd w:fill="FAFBFC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color w:val="172B3A"/>
                <w:sz w:val="19"/>
              </w:rPr>
              <w:t>XML-RPC</w:t>
            </w:r>
          </w:p>
        </w:tc>
        <w:tc>
          <w:tcPr>
            <w:tcW w:type="dxa" w:w="7560"/>
            <w:shd w:fill="FAFBFC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9"/>
              </w:rPr>
              <w:t>基于HTTP和XML的远程过程调用协议，SuperD通过该协议连接被管理服务器。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color w:val="172B3A"/>
                <w:sz w:val="19"/>
              </w:rPr>
              <w:t>RBAC</w:t>
            </w:r>
          </w:p>
        </w:tc>
        <w:tc>
          <w:tcPr>
            <w:tcW w:type="dxa" w:w="7560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9"/>
              </w:rPr>
              <w:t>基于角色的访问控制，本软件设有超级管理员、普通管理员和普通用户。</w:t>
            </w:r>
          </w:p>
        </w:tc>
      </w:tr>
      <w:tr>
        <w:tc>
          <w:tcPr>
            <w:tcW w:type="dxa" w:w="1800"/>
            <w:shd w:fill="FAFBFC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color w:val="172B3A"/>
                <w:sz w:val="19"/>
              </w:rPr>
              <w:t>JWT</w:t>
            </w:r>
          </w:p>
        </w:tc>
        <w:tc>
          <w:tcPr>
            <w:tcW w:type="dxa" w:w="7560"/>
            <w:shd w:fill="FAFBFC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9"/>
              </w:rPr>
              <w:t>网页用户登录后使用的短期身份令牌。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color w:val="172B3A"/>
                <w:sz w:val="19"/>
              </w:rPr>
              <w:t>API Token</w:t>
            </w:r>
          </w:p>
        </w:tc>
        <w:tc>
          <w:tcPr>
            <w:tcW w:type="dxa" w:w="7560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9"/>
              </w:rPr>
              <w:t>面向服务集成的可撤销令牌，令牌值以sd_开头并受scope范围约束。</w:t>
            </w:r>
          </w:p>
        </w:tc>
      </w:tr>
      <w:tr>
        <w:tc>
          <w:tcPr>
            <w:tcW w:type="dxa" w:w="1800"/>
            <w:shd w:fill="FAFBFC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color w:val="172B3A"/>
                <w:sz w:val="19"/>
              </w:rPr>
              <w:t>项目/机器</w:t>
            </w:r>
          </w:p>
        </w:tc>
        <w:tc>
          <w:tcPr>
            <w:tcW w:type="dxa" w:w="7560"/>
            <w:shd w:fill="FAFBFC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9"/>
              </w:rPr>
              <w:t>系统中的受管Supervisor服务器记录，界面中以机器或项目节点展示。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color w:val="172B3A"/>
                <w:sz w:val="19"/>
              </w:rPr>
              <w:t>程序</w:t>
            </w:r>
          </w:p>
        </w:tc>
        <w:tc>
          <w:tcPr>
            <w:tcW w:type="dxa" w:w="7560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9"/>
              </w:rPr>
              <w:t>由Supervisor管理的单个进程实例。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PingFang SC" w:hAnsi="PingFang SC" w:eastAsia="PingFang SC" w:cs="PingFang SC"/>
          <w:b/>
          <w:color w:val="2E74B5"/>
          <w:sz w:val="32"/>
        </w:rPr>
        <w:t>2 软件概述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PingFang SC" w:hAnsi="PingFang SC" w:eastAsia="PingFang SC" w:cs="PingFang SC"/>
                <w:b/>
                <w:color w:val="1F4D78"/>
                <w:sz w:val="21"/>
              </w:rPr>
              <w:t>开发团队：</w:t>
            </w:r>
            <w:r>
              <w:rPr>
                <w:rFonts w:ascii="宋体" w:hAnsi="宋体" w:eastAsia="宋体" w:cs="宋体"/>
                <w:color w:val="172B3A"/>
                <w:sz w:val="21"/>
              </w:rPr>
              <w:t>本软件由北京胤康科技有限公司运维团队进行开发。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PingFang SC" w:hAnsi="PingFang SC" w:eastAsia="PingFang SC" w:cs="PingFang SC"/>
          <w:b/>
          <w:color w:val="2E74B5"/>
          <w:sz w:val="26"/>
        </w:rPr>
        <w:t>2.1 开发背景</w:t>
      </w:r>
    </w:p>
    <w:p>
      <w:pPr>
        <w:spacing w:after="120" w:line="300" w:lineRule="auto"/>
        <w:ind w:firstLine="420"/>
        <w:jc w:val="both"/>
      </w:pPr>
      <w:r>
        <w:rPr>
          <w:rFonts w:ascii="宋体" w:hAnsi="宋体" w:eastAsia="宋体" w:cs="宋体"/>
          <w:color w:val="172B3A"/>
          <w:sz w:val="22"/>
        </w:rPr>
        <w:t>在多服务器环境中，运维人员通常需要分别登录每台主机并运行supervisorctl命令查询或控制进程。随着服务器数量、业务程序数量和协作人员增加，传统命令行方式会产生入口分散、权限边界粗、状态难以汇总、日志查看不统一以及操作审计不足等问题。SuperD提供统一的Web管理入口，把多台服务器上的Supervisor进程组织为可搜索、可分组、可授权的资源，并在浏览器中完成监控、启停、重启和日志查看。</w:t>
      </w:r>
    </w:p>
    <w:p>
      <w:pPr>
        <w:pStyle w:val="Heading2"/>
      </w:pPr>
      <w:r>
        <w:rPr>
          <w:rFonts w:ascii="PingFang SC" w:hAnsi="PingFang SC" w:eastAsia="PingFang SC" w:cs="PingFang SC"/>
          <w:b/>
          <w:color w:val="2E74B5"/>
          <w:sz w:val="26"/>
        </w:rPr>
        <w:t>2.2 建设目标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宋体" w:hAnsi="宋体" w:eastAsia="宋体" w:cs="宋体"/>
          <w:color w:val="172B3A"/>
          <w:sz w:val="22"/>
        </w:rPr>
        <w:t>建立一个统一的多服务器Supervisor进程管理控制台。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宋体" w:hAnsi="宋体" w:eastAsia="宋体" w:cs="宋体"/>
          <w:color w:val="172B3A"/>
          <w:sz w:val="22"/>
        </w:rPr>
        <w:t>以机器、分组和程序为层级组织资源，降低定位目标进程的成本。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宋体" w:hAnsi="宋体" w:eastAsia="宋体" w:cs="宋体"/>
          <w:color w:val="172B3A"/>
          <w:sz w:val="22"/>
        </w:rPr>
        <w:t>提供程序级和机器级权限控制，满足不同运维人员的最小授权需求。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宋体" w:hAnsi="宋体" w:eastAsia="宋体" w:cs="宋体"/>
          <w:color w:val="172B3A"/>
          <w:sz w:val="22"/>
        </w:rPr>
        <w:t>通过实时日志推送和自动刷新，使用户及时掌握程序状态和运行输出。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宋体" w:hAnsi="宋体" w:eastAsia="宋体" w:cs="宋体"/>
          <w:color w:val="172B3A"/>
          <w:sz w:val="22"/>
        </w:rPr>
        <w:t>通过SQLite零配置模式和MySQL可选模式兼顾快速部署与生产扩展。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宋体" w:hAnsi="宋体" w:eastAsia="宋体" w:cs="宋体"/>
          <w:color w:val="172B3A"/>
          <w:sz w:val="22"/>
        </w:rPr>
        <w:t>为外部监控、告警或自动化平台提供带scope和审计能力的服务API。</w:t>
      </w:r>
    </w:p>
    <w:p>
      <w:pPr>
        <w:pStyle w:val="Heading2"/>
      </w:pPr>
      <w:r>
        <w:rPr>
          <w:rFonts w:ascii="PingFang SC" w:hAnsi="PingFang SC" w:eastAsia="PingFang SC" w:cs="PingFang SC"/>
          <w:b/>
          <w:color w:val="2E74B5"/>
          <w:sz w:val="26"/>
        </w:rPr>
        <w:t>2.3 适用对象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000"/>
        <w:gridCol w:w="45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PingFang SC" w:hAnsi="PingFang SC" w:eastAsia="PingFang SC" w:cs="PingFang SC"/>
                <w:b/>
                <w:color w:val="1F4D78"/>
                <w:sz w:val="19"/>
              </w:rPr>
              <w:t>用户类型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PingFang SC" w:hAnsi="PingFang SC" w:eastAsia="PingFang SC" w:cs="PingFang SC"/>
                <w:b/>
                <w:color w:val="1F4D78"/>
                <w:sz w:val="19"/>
              </w:rPr>
              <w:t>典型职责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PingFang SC" w:hAnsi="PingFang SC" w:eastAsia="PingFang SC" w:cs="PingFang SC"/>
                <w:b/>
                <w:color w:val="1F4D78"/>
                <w:sz w:val="19"/>
              </w:rPr>
              <w:t>主要使用范围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color w:val="172B3A"/>
                <w:sz w:val="19"/>
              </w:rPr>
              <w:t>超级管理员</w:t>
            </w:r>
          </w:p>
        </w:tc>
        <w:tc>
          <w:tcPr>
            <w:tcW w:type="dxa" w:w="3000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9"/>
              </w:rPr>
              <w:t>平台初始化、全局配置和安全治理</w:t>
            </w:r>
          </w:p>
        </w:tc>
        <w:tc>
          <w:tcPr>
            <w:tcW w:type="dxa" w:w="4560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9"/>
              </w:rPr>
              <w:t>管理所有用户、分组、机器、权限和服务令牌</w:t>
            </w:r>
          </w:p>
        </w:tc>
      </w:tr>
      <w:tr>
        <w:tc>
          <w:tcPr>
            <w:tcW w:type="dxa" w:w="1800"/>
            <w:shd w:fill="FAFBFC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color w:val="172B3A"/>
                <w:sz w:val="19"/>
              </w:rPr>
              <w:t>普通管理员</w:t>
            </w:r>
          </w:p>
        </w:tc>
        <w:tc>
          <w:tcPr>
            <w:tcW w:type="dxa" w:w="3000"/>
            <w:shd w:fill="FAFBFC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9"/>
              </w:rPr>
              <w:t>团队或业务组运维管理</w:t>
            </w:r>
          </w:p>
        </w:tc>
        <w:tc>
          <w:tcPr>
            <w:tcW w:type="dxa" w:w="4560"/>
            <w:shd w:fill="FAFBFC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9"/>
              </w:rPr>
              <w:t>管理自己的普通用户并为其配置资源权限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color w:val="172B3A"/>
                <w:sz w:val="19"/>
              </w:rPr>
              <w:t>普通用户</w:t>
            </w:r>
          </w:p>
        </w:tc>
        <w:tc>
          <w:tcPr>
            <w:tcW w:type="dxa" w:w="3000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9"/>
              </w:rPr>
              <w:t>日常进程监控和故障处理</w:t>
            </w:r>
          </w:p>
        </w:tc>
        <w:tc>
          <w:tcPr>
            <w:tcW w:type="dxa" w:w="4560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9"/>
              </w:rPr>
              <w:t>查看并操作已授权机器或指定程序</w:t>
            </w:r>
          </w:p>
        </w:tc>
      </w:tr>
      <w:tr>
        <w:tc>
          <w:tcPr>
            <w:tcW w:type="dxa" w:w="1800"/>
            <w:shd w:fill="FAFBFC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color w:val="172B3A"/>
                <w:sz w:val="19"/>
              </w:rPr>
              <w:t>外部服务</w:t>
            </w:r>
          </w:p>
        </w:tc>
        <w:tc>
          <w:tcPr>
            <w:tcW w:type="dxa" w:w="3000"/>
            <w:shd w:fill="FAFBFC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9"/>
              </w:rPr>
              <w:t>告警、发布、巡检或自动化集成</w:t>
            </w:r>
          </w:p>
        </w:tc>
        <w:tc>
          <w:tcPr>
            <w:tcW w:type="dxa" w:w="4560"/>
            <w:shd w:fill="FAFBFC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9"/>
              </w:rPr>
              <w:t>在令牌scope与绑定用户权限交集内调用API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PingFang SC" w:hAnsi="PingFang SC" w:eastAsia="PingFang SC" w:cs="PingFang SC"/>
          <w:b/>
          <w:color w:val="2E74B5"/>
          <w:sz w:val="26"/>
        </w:rPr>
        <w:t>2.4 软件边界</w:t>
      </w:r>
    </w:p>
    <w:p>
      <w:pPr>
        <w:spacing w:after="120" w:line="300" w:lineRule="auto"/>
        <w:ind w:firstLine="420"/>
        <w:jc w:val="both"/>
      </w:pPr>
      <w:r>
        <w:rPr>
          <w:rFonts w:ascii="宋体" w:hAnsi="宋体" w:eastAsia="宋体" w:cs="宋体"/>
          <w:color w:val="172B3A"/>
          <w:sz w:val="22"/>
        </w:rPr>
        <w:t>SuperD负责提供Web界面、身份认证、权限判定、资源配置、Supervisor XML-RPC调用、日志传输、状态缓存和服务API审计。它不替代Supervisor本身，不负责创建操作系统进程配置文件，也不直接执行服务器Shell命令。被管理服务器必须已经安装并运行Supervisor，并开放可由SuperD应用服务器访问的inet_http_server/XML-RPC接口。</w:t>
      </w:r>
    </w:p>
    <w:p>
      <w:pPr>
        <w:pStyle w:val="Heading1"/>
      </w:pPr>
      <w:r>
        <w:rPr>
          <w:rFonts w:ascii="PingFang SC" w:hAnsi="PingFang SC" w:eastAsia="PingFang SC" w:cs="PingFang SC"/>
          <w:b/>
          <w:color w:val="2E74B5"/>
          <w:sz w:val="32"/>
        </w:rPr>
        <w:t>3 运行环境</w:t>
      </w:r>
    </w:p>
    <w:p>
      <w:pPr>
        <w:pStyle w:val="Heading2"/>
      </w:pPr>
      <w:r>
        <w:rPr>
          <w:rFonts w:ascii="PingFang SC" w:hAnsi="PingFang SC" w:eastAsia="PingFang SC" w:cs="PingFang SC"/>
          <w:b/>
          <w:color w:val="2E74B5"/>
          <w:sz w:val="26"/>
        </w:rPr>
        <w:t>3.1 开发环境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600"/>
        <w:gridCol w:w="42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PingFang SC" w:hAnsi="PingFang SC" w:eastAsia="PingFang SC" w:cs="PingFang SC"/>
                <w:b/>
                <w:color w:val="1F4D78"/>
                <w:sz w:val="18"/>
              </w:rPr>
              <w:t>类别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PingFang SC" w:hAnsi="PingFang SC" w:eastAsia="PingFang SC" w:cs="PingFang SC"/>
                <w:b/>
                <w:color w:val="1F4D78"/>
                <w:sz w:val="18"/>
              </w:rPr>
              <w:t>技术/工具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PingFang SC" w:hAnsi="PingFang SC" w:eastAsia="PingFang SC" w:cs="PingFang SC"/>
                <w:b/>
                <w:color w:val="1F4D78"/>
                <w:sz w:val="18"/>
              </w:rPr>
              <w:t>用途</w:t>
            </w:r>
          </w:p>
        </w:tc>
      </w:tr>
      <w:tr>
        <w:tc>
          <w:tcPr>
            <w:tcW w:type="dxa" w:w="150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color w:val="172B3A"/>
                <w:sz w:val="18"/>
              </w:rPr>
              <w:t>前端语言</w:t>
            </w:r>
          </w:p>
        </w:tc>
        <w:tc>
          <w:tcPr>
            <w:tcW w:type="dxa" w:w="3600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8"/>
              </w:rPr>
              <w:t>JavaScript、JSX、CSS</w:t>
            </w:r>
          </w:p>
        </w:tc>
        <w:tc>
          <w:tcPr>
            <w:tcW w:type="dxa" w:w="4260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8"/>
              </w:rPr>
              <w:t>实现浏览器端页面与交互</w:t>
            </w:r>
          </w:p>
        </w:tc>
      </w:tr>
      <w:tr>
        <w:tc>
          <w:tcPr>
            <w:tcW w:type="dxa" w:w="1500"/>
            <w:shd w:fill="FAFBFC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color w:val="172B3A"/>
                <w:sz w:val="18"/>
              </w:rPr>
              <w:t>前端框架</w:t>
            </w:r>
          </w:p>
        </w:tc>
        <w:tc>
          <w:tcPr>
            <w:tcW w:type="dxa" w:w="3600"/>
            <w:shd w:fill="FAFBFC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8"/>
              </w:rPr>
              <w:t>React 18、Vite 7、Ant Design 5</w:t>
            </w:r>
          </w:p>
        </w:tc>
        <w:tc>
          <w:tcPr>
            <w:tcW w:type="dxa" w:w="4260"/>
            <w:shd w:fill="FAFBFC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8"/>
              </w:rPr>
              <w:t>组件化界面、构建与UI基础能力</w:t>
            </w:r>
          </w:p>
        </w:tc>
      </w:tr>
      <w:tr>
        <w:tc>
          <w:tcPr>
            <w:tcW w:type="dxa" w:w="150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color w:val="172B3A"/>
                <w:sz w:val="18"/>
              </w:rPr>
              <w:t>前端组件</w:t>
            </w:r>
          </w:p>
        </w:tc>
        <w:tc>
          <w:tcPr>
            <w:tcW w:type="dxa" w:w="3600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8"/>
              </w:rPr>
              <w:t>React Router、TanStack Query、xterm.js、Socket.io-client</w:t>
            </w:r>
          </w:p>
        </w:tc>
        <w:tc>
          <w:tcPr>
            <w:tcW w:type="dxa" w:w="4260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8"/>
              </w:rPr>
              <w:t>路由、数据请求、终端日志、实时通信</w:t>
            </w:r>
          </w:p>
        </w:tc>
      </w:tr>
      <w:tr>
        <w:tc>
          <w:tcPr>
            <w:tcW w:type="dxa" w:w="1500"/>
            <w:shd w:fill="FAFBFC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color w:val="172B3A"/>
                <w:sz w:val="18"/>
              </w:rPr>
              <w:t>后端环境</w:t>
            </w:r>
          </w:p>
        </w:tc>
        <w:tc>
          <w:tcPr>
            <w:tcW w:type="dxa" w:w="3600"/>
            <w:shd w:fill="FAFBFC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8"/>
              </w:rPr>
              <w:t>Node.js、Express 5、Socket.io 4</w:t>
            </w:r>
          </w:p>
        </w:tc>
        <w:tc>
          <w:tcPr>
            <w:tcW w:type="dxa" w:w="4260"/>
            <w:shd w:fill="FAFBFC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8"/>
              </w:rPr>
              <w:t>REST API、静态页面托管和实时日志</w:t>
            </w:r>
          </w:p>
        </w:tc>
      </w:tr>
      <w:tr>
        <w:tc>
          <w:tcPr>
            <w:tcW w:type="dxa" w:w="150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color w:val="172B3A"/>
                <w:sz w:val="18"/>
              </w:rPr>
              <w:t>数据存储</w:t>
            </w:r>
          </w:p>
        </w:tc>
        <w:tc>
          <w:tcPr>
            <w:tcW w:type="dxa" w:w="3600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8"/>
              </w:rPr>
              <w:t>SQLite / MySQL</w:t>
            </w:r>
          </w:p>
        </w:tc>
        <w:tc>
          <w:tcPr>
            <w:tcW w:type="dxa" w:w="4260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8"/>
              </w:rPr>
              <w:t>持久化用户、角色、资源、权限、令牌和审计数据</w:t>
            </w:r>
          </w:p>
        </w:tc>
      </w:tr>
      <w:tr>
        <w:tc>
          <w:tcPr>
            <w:tcW w:type="dxa" w:w="1500"/>
            <w:shd w:fill="FAFBFC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color w:val="172B3A"/>
                <w:sz w:val="18"/>
              </w:rPr>
              <w:t>进程通信</w:t>
            </w:r>
          </w:p>
        </w:tc>
        <w:tc>
          <w:tcPr>
            <w:tcW w:type="dxa" w:w="3600"/>
            <w:shd w:fill="FAFBFC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8"/>
              </w:rPr>
              <w:t>xmlrpc</w:t>
            </w:r>
          </w:p>
        </w:tc>
        <w:tc>
          <w:tcPr>
            <w:tcW w:type="dxa" w:w="4260"/>
            <w:shd w:fill="FAFBFC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8"/>
              </w:rPr>
              <w:t>调用Supervisor XML-RPC接口</w:t>
            </w:r>
          </w:p>
        </w:tc>
      </w:tr>
      <w:tr>
        <w:tc>
          <w:tcPr>
            <w:tcW w:type="dxa" w:w="150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color w:val="172B3A"/>
                <w:sz w:val="18"/>
              </w:rPr>
              <w:t>部署工具</w:t>
            </w:r>
          </w:p>
        </w:tc>
        <w:tc>
          <w:tcPr>
            <w:tcW w:type="dxa" w:w="3600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8"/>
              </w:rPr>
              <w:t>PM2</w:t>
            </w:r>
          </w:p>
        </w:tc>
        <w:tc>
          <w:tcPr>
            <w:tcW w:type="dxa" w:w="4260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8"/>
              </w:rPr>
              <w:t>生产环境进程守护和日志管理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PingFang SC" w:hAnsi="PingFang SC" w:eastAsia="PingFang SC" w:cs="PingFang SC"/>
          <w:b/>
          <w:color w:val="2E74B5"/>
          <w:sz w:val="26"/>
        </w:rPr>
        <w:t>3.2 服务器端运行条件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宋体" w:hAnsi="宋体" w:eastAsia="宋体" w:cs="宋体"/>
          <w:color w:val="172B3A"/>
          <w:sz w:val="22"/>
        </w:rPr>
        <w:t>操作系统：支持Node.js和PM2的Linux/Unix服务器，推荐64位Linux。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宋体" w:hAnsi="宋体" w:eastAsia="宋体" w:cs="宋体"/>
          <w:color w:val="172B3A"/>
          <w:sz w:val="22"/>
        </w:rPr>
        <w:t>运行时：与项目依赖兼容的Node.js版本，生产部署前应使用锁定文件完成依赖安装和构建验证。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宋体" w:hAnsi="宋体" w:eastAsia="宋体" w:cs="宋体"/>
          <w:color w:val="172B3A"/>
          <w:sz w:val="22"/>
        </w:rPr>
        <w:t>存储：默认使用本地SQLite文件；并发或集中化场景可配置MySQL。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宋体" w:hAnsi="宋体" w:eastAsia="宋体" w:cs="宋体"/>
          <w:color w:val="172B3A"/>
          <w:sz w:val="22"/>
        </w:rPr>
        <w:t>网络：应用服务器能够访问各被管服务器的Supervisor XML-RPC端口，默认端口为9001。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宋体" w:hAnsi="宋体" w:eastAsia="宋体" w:cs="宋体"/>
          <w:color w:val="172B3A"/>
          <w:sz w:val="22"/>
        </w:rPr>
        <w:t>安全：建议通过HTTPS反向代理对外提供服务，密钥仅通过环境变量或受控配置文件注入。</w:t>
      </w:r>
    </w:p>
    <w:p>
      <w:pPr>
        <w:pStyle w:val="Heading2"/>
      </w:pPr>
      <w:r>
        <w:rPr>
          <w:rFonts w:ascii="PingFang SC" w:hAnsi="PingFang SC" w:eastAsia="PingFang SC" w:cs="PingFang SC"/>
          <w:b/>
          <w:color w:val="2E74B5"/>
          <w:sz w:val="26"/>
        </w:rPr>
        <w:t>3.3 客户端运行条件</w:t>
      </w:r>
    </w:p>
    <w:p>
      <w:pPr>
        <w:spacing w:after="120" w:line="300" w:lineRule="auto"/>
        <w:ind w:firstLine="420"/>
        <w:jc w:val="both"/>
      </w:pPr>
      <w:r>
        <w:rPr>
          <w:rFonts w:ascii="宋体" w:hAnsi="宋体" w:eastAsia="宋体" w:cs="宋体"/>
          <w:color w:val="172B3A"/>
          <w:sz w:val="22"/>
        </w:rPr>
        <w:t>客户端为现代Web浏览器，不需要安装独立桌面程序。建议使用当前受支持版本的Chrome、Edge或其他兼容现代JavaScript、WebSocket和CSS布局的浏览器，桌面分辨率建议不低于1366×768。客户端应能访问SuperD服务地址，并允许同源Cookie、JWT请求和Socket.io连接。</w:t>
      </w:r>
    </w:p>
    <w:p>
      <w:pPr>
        <w:pStyle w:val="Heading2"/>
      </w:pPr>
      <w:r>
        <w:rPr>
          <w:rFonts w:ascii="PingFang SC" w:hAnsi="PingFang SC" w:eastAsia="PingFang SC" w:cs="PingFang SC"/>
          <w:b/>
          <w:color w:val="2E74B5"/>
          <w:sz w:val="26"/>
        </w:rPr>
        <w:t>3.4 关键环境变量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1200"/>
        <w:gridCol w:w="2700"/>
        <w:gridCol w:w="3460"/>
      </w:tblGrid>
      <w:tr>
        <w:trPr>
          <w:tblHeader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PingFang SC" w:hAnsi="PingFang SC" w:eastAsia="PingFang SC" w:cs="PingFang SC"/>
                <w:b/>
                <w:color w:val="1F4D78"/>
                <w:sz w:val="18"/>
              </w:rPr>
              <w:t>变量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PingFang SC" w:hAnsi="PingFang SC" w:eastAsia="PingFang SC" w:cs="PingFang SC"/>
                <w:b/>
                <w:color w:val="1F4D78"/>
                <w:sz w:val="18"/>
              </w:rPr>
              <w:t>必填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PingFang SC" w:hAnsi="PingFang SC" w:eastAsia="PingFang SC" w:cs="PingFang SC"/>
                <w:b/>
                <w:color w:val="1F4D78"/>
                <w:sz w:val="18"/>
              </w:rPr>
              <w:t>默认值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PingFang SC" w:hAnsi="PingFang SC" w:eastAsia="PingFang SC" w:cs="PingFang SC"/>
                <w:b/>
                <w:color w:val="1F4D78"/>
                <w:sz w:val="18"/>
              </w:rPr>
              <w:t>用途</w:t>
            </w:r>
          </w:p>
        </w:tc>
      </w:tr>
      <w:tr>
        <w:tc>
          <w:tcPr>
            <w:tcW w:type="dxa" w:w="200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color w:val="172B3A"/>
                <w:sz w:val="18"/>
              </w:rPr>
              <w:t>SESSION_SECRET</w:t>
            </w:r>
          </w:p>
        </w:tc>
        <w:tc>
          <w:tcPr>
            <w:tcW w:type="dxa" w:w="1200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8"/>
              </w:rPr>
              <w:t>是</w:t>
            </w:r>
          </w:p>
        </w:tc>
        <w:tc>
          <w:tcPr>
            <w:tcW w:type="dxa" w:w="2700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8"/>
              </w:rPr>
              <w:t>无</w:t>
            </w:r>
          </w:p>
        </w:tc>
        <w:tc>
          <w:tcPr>
            <w:tcW w:type="dxa" w:w="3460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8"/>
              </w:rPr>
              <w:t>Express Session签名密钥</w:t>
            </w:r>
          </w:p>
        </w:tc>
      </w:tr>
      <w:tr>
        <w:tc>
          <w:tcPr>
            <w:tcW w:type="dxa" w:w="2000"/>
            <w:shd w:fill="FAFBFC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color w:val="172B3A"/>
                <w:sz w:val="18"/>
              </w:rPr>
              <w:t>JWT_SECRET</w:t>
            </w:r>
          </w:p>
        </w:tc>
        <w:tc>
          <w:tcPr>
            <w:tcW w:type="dxa" w:w="1200"/>
            <w:shd w:fill="FAFBFC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8"/>
              </w:rPr>
              <w:t>是</w:t>
            </w:r>
          </w:p>
        </w:tc>
        <w:tc>
          <w:tcPr>
            <w:tcW w:type="dxa" w:w="2700"/>
            <w:shd w:fill="FAFBFC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8"/>
              </w:rPr>
              <w:t>无</w:t>
            </w:r>
          </w:p>
        </w:tc>
        <w:tc>
          <w:tcPr>
            <w:tcW w:type="dxa" w:w="3460"/>
            <w:shd w:fill="FAFBFC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8"/>
              </w:rPr>
              <w:t>网页用户JWT签名密钥</w:t>
            </w:r>
          </w:p>
        </w:tc>
      </w:tr>
      <w:tr>
        <w:tc>
          <w:tcPr>
            <w:tcW w:type="dxa" w:w="200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color w:val="172B3A"/>
                <w:sz w:val="18"/>
              </w:rPr>
              <w:t>ENCRYPTION_KEY</w:t>
            </w:r>
          </w:p>
        </w:tc>
        <w:tc>
          <w:tcPr>
            <w:tcW w:type="dxa" w:w="1200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8"/>
              </w:rPr>
              <w:t>是</w:t>
            </w:r>
          </w:p>
        </w:tc>
        <w:tc>
          <w:tcPr>
            <w:tcW w:type="dxa" w:w="2700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8"/>
              </w:rPr>
              <w:t>无</w:t>
            </w:r>
          </w:p>
        </w:tc>
        <w:tc>
          <w:tcPr>
            <w:tcW w:type="dxa" w:w="3460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8"/>
              </w:rPr>
              <w:t>Supervisor连接密码加密密钥</w:t>
            </w:r>
          </w:p>
        </w:tc>
      </w:tr>
      <w:tr>
        <w:tc>
          <w:tcPr>
            <w:tcW w:type="dxa" w:w="2000"/>
            <w:shd w:fill="FAFBFC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color w:val="172B3A"/>
                <w:sz w:val="18"/>
              </w:rPr>
              <w:t>STORAGE_TYPE</w:t>
            </w:r>
          </w:p>
        </w:tc>
        <w:tc>
          <w:tcPr>
            <w:tcW w:type="dxa" w:w="1200"/>
            <w:shd w:fill="FAFBFC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8"/>
              </w:rPr>
              <w:t>否</w:t>
            </w:r>
          </w:p>
        </w:tc>
        <w:tc>
          <w:tcPr>
            <w:tcW w:type="dxa" w:w="2700"/>
            <w:shd w:fill="FAFBFC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8"/>
              </w:rPr>
              <w:t>sqlite</w:t>
            </w:r>
          </w:p>
        </w:tc>
        <w:tc>
          <w:tcPr>
            <w:tcW w:type="dxa" w:w="3460"/>
            <w:shd w:fill="FAFBFC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8"/>
              </w:rPr>
              <w:t>选择sqlite或mysql存储实现</w:t>
            </w:r>
          </w:p>
        </w:tc>
      </w:tr>
      <w:tr>
        <w:tc>
          <w:tcPr>
            <w:tcW w:type="dxa" w:w="200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color w:val="172B3A"/>
                <w:sz w:val="18"/>
              </w:rPr>
              <w:t>SQLITE_PATH</w:t>
            </w:r>
          </w:p>
        </w:tc>
        <w:tc>
          <w:tcPr>
            <w:tcW w:type="dxa" w:w="1200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8"/>
              </w:rPr>
              <w:t>否</w:t>
            </w:r>
          </w:p>
        </w:tc>
        <w:tc>
          <w:tcPr>
            <w:tcW w:type="dxa" w:w="2700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8"/>
              </w:rPr>
              <w:t>backend/data/supervisor.db</w:t>
            </w:r>
          </w:p>
        </w:tc>
        <w:tc>
          <w:tcPr>
            <w:tcW w:type="dxa" w:w="3460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8"/>
              </w:rPr>
              <w:t>SQLite数据库文件位置</w:t>
            </w:r>
          </w:p>
        </w:tc>
      </w:tr>
      <w:tr>
        <w:tc>
          <w:tcPr>
            <w:tcW w:type="dxa" w:w="2000"/>
            <w:shd w:fill="FAFBFC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color w:val="172B3A"/>
                <w:sz w:val="18"/>
              </w:rPr>
              <w:t>PORT</w:t>
            </w:r>
          </w:p>
        </w:tc>
        <w:tc>
          <w:tcPr>
            <w:tcW w:type="dxa" w:w="1200"/>
            <w:shd w:fill="FAFBFC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8"/>
              </w:rPr>
              <w:t>否</w:t>
            </w:r>
          </w:p>
        </w:tc>
        <w:tc>
          <w:tcPr>
            <w:tcW w:type="dxa" w:w="2700"/>
            <w:shd w:fill="FAFBFC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8"/>
              </w:rPr>
              <w:t>3000</w:t>
            </w:r>
          </w:p>
        </w:tc>
        <w:tc>
          <w:tcPr>
            <w:tcW w:type="dxa" w:w="3460"/>
            <w:shd w:fill="FAFBFC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8"/>
              </w:rPr>
              <w:t>后端监听端口；生产配置示例为6002</w:t>
            </w:r>
          </w:p>
        </w:tc>
      </w:tr>
      <w:tr>
        <w:tc>
          <w:tcPr>
            <w:tcW w:type="dxa" w:w="200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color w:val="172B3A"/>
                <w:sz w:val="18"/>
              </w:rPr>
              <w:t>MYSQL_*</w:t>
            </w:r>
          </w:p>
        </w:tc>
        <w:tc>
          <w:tcPr>
            <w:tcW w:type="dxa" w:w="1200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8"/>
              </w:rPr>
              <w:t>MySQL模式</w:t>
            </w:r>
          </w:p>
        </w:tc>
        <w:tc>
          <w:tcPr>
            <w:tcW w:type="dxa" w:w="2700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8"/>
              </w:rPr>
              <w:t>按配置</w:t>
            </w:r>
          </w:p>
        </w:tc>
        <w:tc>
          <w:tcPr>
            <w:tcW w:type="dxa" w:w="3460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8"/>
              </w:rPr>
              <w:t>MySQL主机、端口、用户、密码、数据库等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PingFang SC" w:hAnsi="PingFang SC" w:eastAsia="PingFang SC" w:cs="PingFang SC"/>
          <w:b/>
          <w:color w:val="2E74B5"/>
          <w:sz w:val="32"/>
        </w:rPr>
        <w:t>4 总体设计</w:t>
      </w:r>
    </w:p>
    <w:p>
      <w:pPr>
        <w:pStyle w:val="Heading2"/>
      </w:pPr>
      <w:r>
        <w:rPr>
          <w:rFonts w:ascii="PingFang SC" w:hAnsi="PingFang SC" w:eastAsia="PingFang SC" w:cs="PingFang SC"/>
          <w:b/>
          <w:color w:val="2E74B5"/>
          <w:sz w:val="26"/>
        </w:rPr>
        <w:t>4.1 系统架构</w:t>
      </w:r>
    </w:p>
    <w:p>
      <w:pPr>
        <w:spacing w:after="120" w:line="300" w:lineRule="auto"/>
        <w:ind w:firstLine="420"/>
        <w:jc w:val="both"/>
      </w:pPr>
      <w:r>
        <w:rPr>
          <w:rFonts w:ascii="宋体" w:hAnsi="宋体" w:eastAsia="宋体" w:cs="宋体"/>
          <w:color w:val="172B3A"/>
          <w:sz w:val="22"/>
        </w:rPr>
        <w:t>软件采用前后端分离的B/S结构。前端负责页面展示、资源树导航、状态统计、用户交互和日志终端；后端提供认证、权限校验、REST接口、WebSocket服务、数据库访问及Supervisor XML-RPC适配。生产构建后，后端可在同一端口托管前端静态文件，从而形成单一访问入口。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23560" cy="30280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0280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/>
        <w:jc w:val="center"/>
      </w:pPr>
      <w:r>
        <w:rPr>
          <w:rFonts w:ascii="宋体" w:hAnsi="宋体" w:eastAsia="宋体" w:cs="宋体"/>
          <w:color w:val="5F6B76"/>
          <w:sz w:val="19"/>
        </w:rPr>
        <w:t>图4-1 SuperD系统总体架构</w:t>
      </w:r>
    </w:p>
    <w:p>
      <w:pPr>
        <w:pStyle w:val="Heading2"/>
      </w:pPr>
      <w:r>
        <w:rPr>
          <w:rFonts w:ascii="PingFang SC" w:hAnsi="PingFang SC" w:eastAsia="PingFang SC" w:cs="PingFang SC"/>
          <w:b/>
          <w:color w:val="2E74B5"/>
          <w:sz w:val="26"/>
        </w:rPr>
        <w:t>4.2 模块划分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3400"/>
        <w:gridCol w:w="4560"/>
      </w:tblGrid>
      <w:tr>
        <w:trPr>
          <w:tblHeader w:val="true"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PingFang SC" w:hAnsi="PingFang SC" w:eastAsia="PingFang SC" w:cs="PingFang SC"/>
                <w:b/>
                <w:color w:val="1F4D78"/>
                <w:sz w:val="18"/>
              </w:rPr>
              <w:t>层级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PingFang SC" w:hAnsi="PingFang SC" w:eastAsia="PingFang SC" w:cs="PingFang SC"/>
                <w:b/>
                <w:color w:val="1F4D78"/>
                <w:sz w:val="18"/>
              </w:rPr>
              <w:t>模块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PingFang SC" w:hAnsi="PingFang SC" w:eastAsia="PingFang SC" w:cs="PingFang SC"/>
                <w:b/>
                <w:color w:val="1F4D78"/>
                <w:sz w:val="18"/>
              </w:rPr>
              <w:t>主要职责</w:t>
            </w:r>
          </w:p>
        </w:tc>
      </w:tr>
      <w:tr>
        <w:tc>
          <w:tcPr>
            <w:tcW w:type="dxa" w:w="140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color w:val="172B3A"/>
                <w:sz w:val="18"/>
              </w:rPr>
              <w:t>表现层</w:t>
            </w:r>
          </w:p>
        </w:tc>
        <w:tc>
          <w:tcPr>
            <w:tcW w:type="dxa" w:w="3400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8"/>
              </w:rPr>
              <w:t>登录页、进程主面板、用户管理、项目管理、日志终端</w:t>
            </w:r>
          </w:p>
        </w:tc>
        <w:tc>
          <w:tcPr>
            <w:tcW w:type="dxa" w:w="4560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8"/>
              </w:rPr>
              <w:t>接收用户操作并展示资源、状态、统计、日志与反馈</w:t>
            </w:r>
          </w:p>
        </w:tc>
      </w:tr>
      <w:tr>
        <w:tc>
          <w:tcPr>
            <w:tcW w:type="dxa" w:w="1400"/>
            <w:shd w:fill="FAFBFC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color w:val="172B3A"/>
                <w:sz w:val="18"/>
              </w:rPr>
              <w:t>前端状态层</w:t>
            </w:r>
          </w:p>
        </w:tc>
        <w:tc>
          <w:tcPr>
            <w:tcW w:type="dxa" w:w="3400"/>
            <w:shd w:fill="FAFBFC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8"/>
              </w:rPr>
              <w:t>AuthContext、TanStack Query、API封装</w:t>
            </w:r>
          </w:p>
        </w:tc>
        <w:tc>
          <w:tcPr>
            <w:tcW w:type="dxa" w:w="4560"/>
            <w:shd w:fill="FAFBFC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8"/>
              </w:rPr>
              <w:t>管理登录态、请求生命周期、错误处理与自动刷新</w:t>
            </w:r>
          </w:p>
        </w:tc>
      </w:tr>
      <w:tr>
        <w:tc>
          <w:tcPr>
            <w:tcW w:type="dxa" w:w="140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color w:val="172B3A"/>
                <w:sz w:val="18"/>
              </w:rPr>
              <w:t>接口层</w:t>
            </w:r>
          </w:p>
        </w:tc>
        <w:tc>
          <w:tcPr>
            <w:tcW w:type="dxa" w:w="3400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8"/>
              </w:rPr>
              <w:t>auth、projects、groups、programs、users、apiTokens路由</w:t>
            </w:r>
          </w:p>
        </w:tc>
        <w:tc>
          <w:tcPr>
            <w:tcW w:type="dxa" w:w="4560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8"/>
              </w:rPr>
              <w:t>提供REST接口并执行参数校验和业务编排</w:t>
            </w:r>
          </w:p>
        </w:tc>
      </w:tr>
      <w:tr>
        <w:tc>
          <w:tcPr>
            <w:tcW w:type="dxa" w:w="1400"/>
            <w:shd w:fill="FAFBFC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color w:val="172B3A"/>
                <w:sz w:val="18"/>
              </w:rPr>
              <w:t>安全层</w:t>
            </w:r>
          </w:p>
        </w:tc>
        <w:tc>
          <w:tcPr>
            <w:tcW w:type="dxa" w:w="3400"/>
            <w:shd w:fill="FAFBFC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8"/>
              </w:rPr>
              <w:t>JWT/API Token认证、角色与资源权限中间件</w:t>
            </w:r>
          </w:p>
        </w:tc>
        <w:tc>
          <w:tcPr>
            <w:tcW w:type="dxa" w:w="4560"/>
            <w:shd w:fill="FAFBFC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8"/>
              </w:rPr>
              <w:t>验证身份、scope以及机器/程序访问权限</w:t>
            </w:r>
          </w:p>
        </w:tc>
      </w:tr>
      <w:tr>
        <w:tc>
          <w:tcPr>
            <w:tcW w:type="dxa" w:w="140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color w:val="172B3A"/>
                <w:sz w:val="18"/>
              </w:rPr>
              <w:t>服务层</w:t>
            </w:r>
          </w:p>
        </w:tc>
        <w:tc>
          <w:tcPr>
            <w:tcW w:type="dxa" w:w="3400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8"/>
              </w:rPr>
              <w:t>supervisorService、socketServer</w:t>
            </w:r>
          </w:p>
        </w:tc>
        <w:tc>
          <w:tcPr>
            <w:tcW w:type="dxa" w:w="4560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8"/>
              </w:rPr>
              <w:t>执行XML-RPC调用、缓存进程列表、增量读取并推送日志</w:t>
            </w:r>
          </w:p>
        </w:tc>
      </w:tr>
      <w:tr>
        <w:tc>
          <w:tcPr>
            <w:tcW w:type="dxa" w:w="1400"/>
            <w:shd w:fill="FAFBFC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color w:val="172B3A"/>
                <w:sz w:val="18"/>
              </w:rPr>
              <w:t>数据层</w:t>
            </w:r>
          </w:p>
        </w:tc>
        <w:tc>
          <w:tcPr>
            <w:tcW w:type="dxa" w:w="3400"/>
            <w:shd w:fill="FAFBFC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8"/>
              </w:rPr>
              <w:t>db.sqlite、db.mysql</w:t>
            </w:r>
          </w:p>
        </w:tc>
        <w:tc>
          <w:tcPr>
            <w:tcW w:type="dxa" w:w="4560"/>
            <w:shd w:fill="FAFBFC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8"/>
              </w:rPr>
              <w:t>为两类数据库提供统一的数据访问方法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PingFang SC" w:hAnsi="PingFang SC" w:eastAsia="PingFang SC" w:cs="PingFang SC"/>
          <w:b/>
          <w:color w:val="2E74B5"/>
          <w:sz w:val="26"/>
        </w:rPr>
        <w:t>4.3 数据流</w:t>
      </w:r>
    </w:p>
    <w:p>
      <w:pPr>
        <w:spacing w:after="120" w:line="300" w:lineRule="auto"/>
        <w:ind w:firstLine="420"/>
        <w:jc w:val="both"/>
      </w:pPr>
      <w:r>
        <w:rPr>
          <w:rFonts w:ascii="宋体" w:hAnsi="宋体" w:eastAsia="宋体" w:cs="宋体"/>
          <w:color w:val="172B3A"/>
          <w:sz w:val="22"/>
        </w:rPr>
        <w:t>用户登录成功后，前端以JWT访问受保护接口。后端根据用户角色和项目/程序权限筛选可见资源；查询进程时，服务层通过XML-RPC从目标Supervisor读取状态，并在5秒内复用缓存结果。控制操作成功后立即清除相关缓存，下一次查询获得最新状态。日志页面通过Socket.io建立实时连接，服务端按偏移量读取stdout或stderr增量内容并推送到xterm.js终端。</w:t>
      </w:r>
    </w:p>
    <w:p>
      <w:pPr>
        <w:pStyle w:val="Heading2"/>
      </w:pPr>
      <w:r>
        <w:rPr>
          <w:rFonts w:ascii="PingFang SC" w:hAnsi="PingFang SC" w:eastAsia="PingFang SC" w:cs="PingFang SC"/>
          <w:b/>
          <w:color w:val="2E74B5"/>
          <w:sz w:val="26"/>
        </w:rPr>
        <w:t>4.4 部署拓扑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23560" cy="29199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loymen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919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/>
        <w:jc w:val="center"/>
      </w:pPr>
      <w:r>
        <w:rPr>
          <w:rFonts w:ascii="宋体" w:hAnsi="宋体" w:eastAsia="宋体" w:cs="宋体"/>
          <w:color w:val="5F6B76"/>
          <w:sz w:val="19"/>
        </w:rPr>
        <w:t>图4-2 推荐生产部署拓扑</w:t>
      </w:r>
    </w:p>
    <w:p>
      <w:pPr>
        <w:pStyle w:val="Heading1"/>
      </w:pPr>
      <w:r>
        <w:rPr>
          <w:rFonts w:ascii="PingFang SC" w:hAnsi="PingFang SC" w:eastAsia="PingFang SC" w:cs="PingFang SC"/>
          <w:b/>
          <w:color w:val="2E74B5"/>
          <w:sz w:val="32"/>
        </w:rPr>
        <w:t>5 功能设计</w:t>
      </w:r>
    </w:p>
    <w:p>
      <w:pPr>
        <w:pStyle w:val="Heading2"/>
      </w:pPr>
      <w:r>
        <w:rPr>
          <w:rFonts w:ascii="PingFang SC" w:hAnsi="PingFang SC" w:eastAsia="PingFang SC" w:cs="PingFang SC"/>
          <w:b/>
          <w:color w:val="2E74B5"/>
          <w:sz w:val="26"/>
        </w:rPr>
        <w:t>5.1 身份认证</w:t>
      </w:r>
    </w:p>
    <w:p>
      <w:pPr>
        <w:spacing w:after="120" w:line="300" w:lineRule="auto"/>
        <w:ind w:firstLine="420"/>
        <w:jc w:val="both"/>
      </w:pPr>
      <w:r>
        <w:rPr>
          <w:rFonts w:ascii="宋体" w:hAnsi="宋体" w:eastAsia="宋体" w:cs="宋体"/>
          <w:color w:val="172B3A"/>
          <w:sz w:val="22"/>
        </w:rPr>
        <w:t>登录接口接收用户名和密码，后端使用bcrypt校验密码摘要，成功后签发JWT并返回用户基本信息。前端AuthContext统一保存认证状态，受保护路由在未登录时跳转到登录页。登录请求设置按IP计数的速率限制，当前实现为每分钟最多5次，以降低暴力猜测风险。用户可以主动退出并清理会话信息。</w:t>
      </w:r>
    </w:p>
    <w:p>
      <w:pPr>
        <w:pStyle w:val="Heading2"/>
      </w:pPr>
      <w:r>
        <w:rPr>
          <w:rFonts w:ascii="PingFang SC" w:hAnsi="PingFang SC" w:eastAsia="PingFang SC" w:cs="PingFang SC"/>
          <w:b/>
          <w:color w:val="2E74B5"/>
          <w:sz w:val="26"/>
        </w:rPr>
        <w:t>5.2 分组与机器管理</w:t>
      </w:r>
    </w:p>
    <w:p>
      <w:pPr>
        <w:spacing w:after="120" w:line="300" w:lineRule="auto"/>
        <w:ind w:firstLine="420"/>
        <w:jc w:val="both"/>
      </w:pPr>
      <w:r>
        <w:rPr>
          <w:rFonts w:ascii="宋体" w:hAnsi="宋体" w:eastAsia="宋体" w:cs="宋体"/>
          <w:color w:val="172B3A"/>
          <w:sz w:val="22"/>
        </w:rPr>
        <w:t>超级管理员可维护项目分组和机器连接信息。机器记录包含名称、说明、所属分组以及Supervisor主机、端口、用户名和密码等配置。连接密码在写入数据库前使用AES-256相关加密逻辑处理。前端以“分组→机器→程序”的层级展示资源，并按机器名称前缀和尾部数字进行自然排序，支持关键字筛选和连接状态指示。</w:t>
      </w:r>
    </w:p>
    <w:p>
      <w:pPr>
        <w:pStyle w:val="Heading2"/>
      </w:pPr>
      <w:r>
        <w:rPr>
          <w:rFonts w:ascii="PingFang SC" w:hAnsi="PingFang SC" w:eastAsia="PingFang SC" w:cs="PingFang SC"/>
          <w:b/>
          <w:color w:val="2E74B5"/>
          <w:sz w:val="26"/>
        </w:rPr>
        <w:t>5.3 进程监控</w:t>
      </w:r>
    </w:p>
    <w:p>
      <w:pPr>
        <w:spacing w:after="120" w:line="300" w:lineRule="auto"/>
        <w:ind w:firstLine="420"/>
        <w:jc w:val="both"/>
      </w:pPr>
      <w:r>
        <w:rPr>
          <w:rFonts w:ascii="宋体" w:hAnsi="宋体" w:eastAsia="宋体" w:cs="宋体"/>
          <w:color w:val="172B3A"/>
          <w:sz w:val="22"/>
        </w:rPr>
        <w:t>用户选择机器后，系统从Supervisor获取该机器上的程序列表，并展示名称、状态、运行时间和操作入口。页面根据当前程序集合计算总数、运行中、已停止和异常数量。自动刷新周期为10秒，刷新时只更新状态和运行时间等变化字段，不显示全屏加载动画，避免打断用户操作。全局视图能够汇总用户有权访问的程序。</w:t>
      </w:r>
    </w:p>
    <w:p>
      <w:pPr>
        <w:pStyle w:val="Heading2"/>
      </w:pPr>
      <w:r>
        <w:rPr>
          <w:rFonts w:ascii="PingFang SC" w:hAnsi="PingFang SC" w:eastAsia="PingFang SC" w:cs="PingFang SC"/>
          <w:b/>
          <w:color w:val="2E74B5"/>
          <w:sz w:val="26"/>
        </w:rPr>
        <w:t>5.4 进程控制</w:t>
      </w:r>
    </w:p>
    <w:p>
      <w:pPr>
        <w:spacing w:after="120" w:line="300" w:lineRule="auto"/>
        <w:ind w:firstLine="420"/>
        <w:jc w:val="both"/>
      </w:pPr>
      <w:r>
        <w:rPr>
          <w:rFonts w:ascii="宋体" w:hAnsi="宋体" w:eastAsia="宋体" w:cs="宋体"/>
          <w:color w:val="172B3A"/>
          <w:sz w:val="22"/>
        </w:rPr>
        <w:t>对于单个程序，用户可执行启动、停止和重启；对于一台机器，可执行全部启动、全部停止、全部重启和Supervisor配置重载。每次请求先通过身份、scope、角色和资源权限校验，再调用对应XML-RPC方法。操作成功后服务层清除缓存，前端显示结果并延迟刷新状态。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23560" cy="301534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0153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/>
        <w:jc w:val="center"/>
      </w:pPr>
      <w:r>
        <w:rPr>
          <w:rFonts w:ascii="宋体" w:hAnsi="宋体" w:eastAsia="宋体" w:cs="宋体"/>
          <w:color w:val="5F6B76"/>
          <w:sz w:val="19"/>
        </w:rPr>
        <w:t>图5-1 进程控制请求时序</w:t>
      </w:r>
    </w:p>
    <w:p>
      <w:pPr>
        <w:pStyle w:val="Heading2"/>
      </w:pPr>
      <w:r>
        <w:rPr>
          <w:rFonts w:ascii="PingFang SC" w:hAnsi="PingFang SC" w:eastAsia="PingFang SC" w:cs="PingFang SC"/>
          <w:b/>
          <w:color w:val="2E74B5"/>
          <w:sz w:val="26"/>
        </w:rPr>
        <w:t>5.5 实时日志</w:t>
      </w:r>
    </w:p>
    <w:p>
      <w:pPr>
        <w:spacing w:after="120" w:line="300" w:lineRule="auto"/>
        <w:ind w:firstLine="420"/>
        <w:jc w:val="both"/>
      </w:pPr>
      <w:r>
        <w:rPr>
          <w:rFonts w:ascii="宋体" w:hAnsi="宋体" w:eastAsia="宋体" w:cs="宋体"/>
          <w:color w:val="172B3A"/>
          <w:sz w:val="22"/>
        </w:rPr>
        <w:t>程序详情提供stdout和stderr日志查看能力。前端使用xterm.js模拟终端，支持暂停/继续、滚动和选中复制。Socket.io连接建立后，服务端先确定日志文件当前位置，再按偏移量增量读取新内容；连续无新日志时，轮询间隔自动从1秒降低到10秒，以减少服务器负载，出现新日志后恢复高频读取。单次读取长度和前端最大显示行数受配置限制。</w:t>
      </w:r>
    </w:p>
    <w:p>
      <w:pPr>
        <w:pStyle w:val="Heading2"/>
      </w:pPr>
      <w:r>
        <w:rPr>
          <w:rFonts w:ascii="PingFang SC" w:hAnsi="PingFang SC" w:eastAsia="PingFang SC" w:cs="PingFang SC"/>
          <w:b/>
          <w:color w:val="2E74B5"/>
          <w:sz w:val="26"/>
        </w:rPr>
        <w:t>5.6 用户与权限管理</w:t>
      </w:r>
    </w:p>
    <w:p>
      <w:pPr>
        <w:spacing w:after="120" w:line="300" w:lineRule="auto"/>
        <w:ind w:firstLine="420"/>
        <w:jc w:val="both"/>
      </w:pPr>
      <w:r>
        <w:rPr>
          <w:rFonts w:ascii="宋体" w:hAnsi="宋体" w:eastAsia="宋体" w:cs="宋体"/>
          <w:color w:val="172B3A"/>
          <w:sz w:val="22"/>
        </w:rPr>
        <w:t>系统设置超级管理员、普通管理员和普通用户三级角色。超级管理员可管理所有用户；普通管理员只能创建和管理自己的普通用户；普通用户不能进入用户管理功能。资源权限支持机器级和程序级两种粒度，程序级权限优先判定，机器级权限作为兜底。该设计既能让用户管理整台机器，也能只授权某个具体程序。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23560" cy="297399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bac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9739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/>
        <w:jc w:val="center"/>
      </w:pPr>
      <w:r>
        <w:rPr>
          <w:rFonts w:ascii="宋体" w:hAnsi="宋体" w:eastAsia="宋体" w:cs="宋体"/>
          <w:color w:val="5F6B76"/>
          <w:sz w:val="19"/>
        </w:rPr>
        <w:t>图5-2 角色与资源权限模型</w:t>
      </w:r>
    </w:p>
    <w:p>
      <w:pPr>
        <w:pStyle w:val="Heading2"/>
      </w:pPr>
      <w:r>
        <w:rPr>
          <w:rFonts w:ascii="PingFang SC" w:hAnsi="PingFang SC" w:eastAsia="PingFang SC" w:cs="PingFang SC"/>
          <w:b/>
          <w:color w:val="2E74B5"/>
          <w:sz w:val="26"/>
        </w:rPr>
        <w:t>5.7 服务API令牌与审计</w:t>
      </w:r>
    </w:p>
    <w:p>
      <w:pPr>
        <w:spacing w:after="120" w:line="300" w:lineRule="auto"/>
        <w:ind w:firstLine="420"/>
        <w:jc w:val="both"/>
      </w:pPr>
      <w:r>
        <w:rPr>
          <w:rFonts w:ascii="宋体" w:hAnsi="宋体" w:eastAsia="宋体" w:cs="宋体"/>
          <w:color w:val="172B3A"/>
          <w:sz w:val="22"/>
        </w:rPr>
        <w:t>系统支持面向长期服务调用的API令牌。令牌以sd_为前缀，创建时只返回一次明文，数据库仅保存SHA-256摘要。每个令牌绑定一个用户、名称、scope集合和有效期，可由管理员立即撤销。请求权限必须同时满足令牌scope和绑定用户的资源权限。服务令牌调用完成后，系统记录令牌、用户、方法、路径、状态码、耗时和IP等审计信息。</w:t>
      </w:r>
    </w:p>
    <w:p>
      <w:pPr>
        <w:pStyle w:val="Heading2"/>
      </w:pPr>
      <w:r>
        <w:rPr>
          <w:rFonts w:ascii="PingFang SC" w:hAnsi="PingFang SC" w:eastAsia="PingFang SC" w:cs="PingFang SC"/>
          <w:b/>
          <w:color w:val="2E74B5"/>
          <w:sz w:val="26"/>
        </w:rPr>
        <w:t>5.8 性能与一致性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宋体" w:hAnsi="宋体" w:eastAsia="宋体" w:cs="宋体"/>
          <w:color w:val="172B3A"/>
          <w:sz w:val="22"/>
        </w:rPr>
        <w:t>进程列表使用5秒缓存，降低频繁刷新对Supervisor的XML-RPC压力。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宋体" w:hAnsi="宋体" w:eastAsia="宋体" w:cs="宋体"/>
          <w:color w:val="172B3A"/>
          <w:sz w:val="22"/>
        </w:rPr>
        <w:t>控制操作完成后清除对应缓存，避免状态查询长期返回旧值。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宋体" w:hAnsi="宋体" w:eastAsia="宋体" w:cs="宋体"/>
          <w:color w:val="172B3A"/>
          <w:sz w:val="22"/>
        </w:rPr>
        <w:t>页面10秒静默刷新，只合并变化字段，减少布局抖动。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宋体" w:hAnsi="宋体" w:eastAsia="宋体" w:cs="宋体"/>
          <w:color w:val="172B3A"/>
          <w:sz w:val="22"/>
        </w:rPr>
        <w:t>机器连接状态检查采用有限重试，失败后展示离线或错误信息。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宋体" w:hAnsi="宋体" w:eastAsia="宋体" w:cs="宋体"/>
          <w:color w:val="172B3A"/>
          <w:sz w:val="22"/>
        </w:rPr>
        <w:t>日志连续为空时自动降频，有新日志后恢复高频读取。</w:t>
      </w:r>
    </w:p>
    <w:p>
      <w:pPr>
        <w:pStyle w:val="Heading1"/>
      </w:pPr>
      <w:r>
        <w:rPr>
          <w:rFonts w:ascii="PingFang SC" w:hAnsi="PingFang SC" w:eastAsia="PingFang SC" w:cs="PingFang SC"/>
          <w:b/>
          <w:color w:val="2E74B5"/>
          <w:sz w:val="32"/>
        </w:rPr>
        <w:t>6 数据设计</w:t>
      </w:r>
    </w:p>
    <w:p>
      <w:pPr>
        <w:pStyle w:val="Heading2"/>
      </w:pPr>
      <w:r>
        <w:rPr>
          <w:rFonts w:ascii="PingFang SC" w:hAnsi="PingFang SC" w:eastAsia="PingFang SC" w:cs="PingFang SC"/>
          <w:b/>
          <w:color w:val="2E74B5"/>
          <w:sz w:val="26"/>
        </w:rPr>
        <w:t>6.1 存储模式</w:t>
      </w:r>
    </w:p>
    <w:p>
      <w:pPr>
        <w:spacing w:after="120" w:line="300" w:lineRule="auto"/>
        <w:ind w:firstLine="420"/>
        <w:jc w:val="both"/>
      </w:pPr>
      <w:r>
        <w:rPr>
          <w:rFonts w:ascii="宋体" w:hAnsi="宋体" w:eastAsia="宋体" w:cs="宋体"/>
          <w:color w:val="172B3A"/>
          <w:sz w:val="22"/>
        </w:rPr>
        <w:t>数据访问层根据STORAGE_TYPE选择SQLite或MySQL实现。SQLite模式无需独立数据库服务，适合单机或快速部署；MySQL模式适合集中存储和生产环境。两种实现提供一致的核心数据访问方法，使上层路由和服务不依赖具体数据库类型。</w:t>
      </w:r>
    </w:p>
    <w:p>
      <w:pPr>
        <w:pStyle w:val="Heading2"/>
      </w:pPr>
      <w:r>
        <w:rPr>
          <w:rFonts w:ascii="PingFang SC" w:hAnsi="PingFang SC" w:eastAsia="PingFang SC" w:cs="PingFang SC"/>
          <w:b/>
          <w:color w:val="2E74B5"/>
          <w:sz w:val="26"/>
        </w:rPr>
        <w:t>6.2 核心数据实体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800"/>
        <w:gridCol w:w="33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PingFang SC" w:hAnsi="PingFang SC" w:eastAsia="PingFang SC" w:cs="PingFang SC"/>
                <w:b/>
                <w:color w:val="1F4D78"/>
                <w:sz w:val="17"/>
              </w:rPr>
              <w:t>实体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PingFang SC" w:hAnsi="PingFang SC" w:eastAsia="PingFang SC" w:cs="PingFang SC"/>
                <w:b/>
                <w:color w:val="1F4D78"/>
                <w:sz w:val="17"/>
              </w:rPr>
              <w:t>关键字段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PingFang SC" w:hAnsi="PingFang SC" w:eastAsia="PingFang SC" w:cs="PingFang SC"/>
                <w:b/>
                <w:color w:val="1F4D78"/>
                <w:sz w:val="17"/>
              </w:rPr>
              <w:t>用途</w:t>
            </w:r>
          </w:p>
        </w:tc>
      </w:tr>
      <w:tr>
        <w:tc>
          <w:tcPr>
            <w:tcW w:type="dxa" w:w="220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color w:val="172B3A"/>
                <w:sz w:val="17"/>
              </w:rPr>
              <w:t>roles</w:t>
            </w:r>
          </w:p>
        </w:tc>
        <w:tc>
          <w:tcPr>
            <w:tcW w:type="dxa" w:w="3800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7"/>
              </w:rPr>
              <w:t>id、name、description</w:t>
            </w:r>
          </w:p>
        </w:tc>
        <w:tc>
          <w:tcPr>
            <w:tcW w:type="dxa" w:w="3360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7"/>
              </w:rPr>
              <w:t>保存admin、subadmin、user角色定义</w:t>
            </w:r>
          </w:p>
        </w:tc>
      </w:tr>
      <w:tr>
        <w:tc>
          <w:tcPr>
            <w:tcW w:type="dxa" w:w="2200"/>
            <w:shd w:fill="FAFBFC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color w:val="172B3A"/>
                <w:sz w:val="17"/>
              </w:rPr>
              <w:t>users</w:t>
            </w:r>
          </w:p>
        </w:tc>
        <w:tc>
          <w:tcPr>
            <w:tcW w:type="dxa" w:w="3800"/>
            <w:shd w:fill="FAFBFC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7"/>
              </w:rPr>
              <w:t>username、password、roleId、createdBy</w:t>
            </w:r>
          </w:p>
        </w:tc>
        <w:tc>
          <w:tcPr>
            <w:tcW w:type="dxa" w:w="3360"/>
            <w:shd w:fill="FAFBFC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7"/>
              </w:rPr>
              <w:t>保存用户、密码摘要、角色和上级管理员</w:t>
            </w:r>
          </w:p>
        </w:tc>
      </w:tr>
      <w:tr>
        <w:tc>
          <w:tcPr>
            <w:tcW w:type="dxa" w:w="220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color w:val="172B3A"/>
                <w:sz w:val="17"/>
              </w:rPr>
              <w:t>project_groups</w:t>
            </w:r>
          </w:p>
        </w:tc>
        <w:tc>
          <w:tcPr>
            <w:tcW w:type="dxa" w:w="3800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7"/>
              </w:rPr>
              <w:t>name、description</w:t>
            </w:r>
          </w:p>
        </w:tc>
        <w:tc>
          <w:tcPr>
            <w:tcW w:type="dxa" w:w="3360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7"/>
              </w:rPr>
              <w:t>对受管机器进行业务分组</w:t>
            </w:r>
          </w:p>
        </w:tc>
      </w:tr>
      <w:tr>
        <w:tc>
          <w:tcPr>
            <w:tcW w:type="dxa" w:w="2200"/>
            <w:shd w:fill="FAFBFC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color w:val="172B3A"/>
                <w:sz w:val="17"/>
              </w:rPr>
              <w:t>projects</w:t>
            </w:r>
          </w:p>
        </w:tc>
        <w:tc>
          <w:tcPr>
            <w:tcW w:type="dxa" w:w="3800"/>
            <w:shd w:fill="FAFBFC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7"/>
              </w:rPr>
              <w:t>name、description、groupId、supervisorConfig</w:t>
            </w:r>
          </w:p>
        </w:tc>
        <w:tc>
          <w:tcPr>
            <w:tcW w:type="dxa" w:w="3360"/>
            <w:shd w:fill="FAFBFC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7"/>
              </w:rPr>
              <w:t>保存Supervisor服务器连接配置</w:t>
            </w:r>
          </w:p>
        </w:tc>
      </w:tr>
      <w:tr>
        <w:tc>
          <w:tcPr>
            <w:tcW w:type="dxa" w:w="220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color w:val="172B3A"/>
                <w:sz w:val="17"/>
              </w:rPr>
              <w:t>user_project_permissions</w:t>
            </w:r>
          </w:p>
        </w:tc>
        <w:tc>
          <w:tcPr>
            <w:tcW w:type="dxa" w:w="3800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7"/>
              </w:rPr>
              <w:t>userId、projectId</w:t>
            </w:r>
          </w:p>
        </w:tc>
        <w:tc>
          <w:tcPr>
            <w:tcW w:type="dxa" w:w="3360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7"/>
              </w:rPr>
              <w:t>保存用户的机器级权限</w:t>
            </w:r>
          </w:p>
        </w:tc>
      </w:tr>
      <w:tr>
        <w:tc>
          <w:tcPr>
            <w:tcW w:type="dxa" w:w="2200"/>
            <w:shd w:fill="FAFBFC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color w:val="172B3A"/>
                <w:sz w:val="17"/>
              </w:rPr>
              <w:t>user_program_permissions</w:t>
            </w:r>
          </w:p>
        </w:tc>
        <w:tc>
          <w:tcPr>
            <w:tcW w:type="dxa" w:w="3800"/>
            <w:shd w:fill="FAFBFC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7"/>
              </w:rPr>
              <w:t>userId、programId</w:t>
            </w:r>
          </w:p>
        </w:tc>
        <w:tc>
          <w:tcPr>
            <w:tcW w:type="dxa" w:w="3360"/>
            <w:shd w:fill="FAFBFC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7"/>
              </w:rPr>
              <w:t>保存用户的程序级权限</w:t>
            </w:r>
          </w:p>
        </w:tc>
      </w:tr>
      <w:tr>
        <w:tc>
          <w:tcPr>
            <w:tcW w:type="dxa" w:w="220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color w:val="172B3A"/>
                <w:sz w:val="17"/>
              </w:rPr>
              <w:t>api_tokens</w:t>
            </w:r>
          </w:p>
        </w:tc>
        <w:tc>
          <w:tcPr>
            <w:tcW w:type="dxa" w:w="3800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7"/>
              </w:rPr>
              <w:t>userId、name、tokenHash、scopes、expiresAt、revokedAt</w:t>
            </w:r>
          </w:p>
        </w:tc>
        <w:tc>
          <w:tcPr>
            <w:tcW w:type="dxa" w:w="3360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7"/>
              </w:rPr>
              <w:t>保存服务令牌元数据和摘要</w:t>
            </w:r>
          </w:p>
        </w:tc>
      </w:tr>
      <w:tr>
        <w:tc>
          <w:tcPr>
            <w:tcW w:type="dxa" w:w="2200"/>
            <w:shd w:fill="FAFBFC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color w:val="172B3A"/>
                <w:sz w:val="17"/>
              </w:rPr>
              <w:t>api_audit_events</w:t>
            </w:r>
          </w:p>
        </w:tc>
        <w:tc>
          <w:tcPr>
            <w:tcW w:type="dxa" w:w="3800"/>
            <w:shd w:fill="FAFBFC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7"/>
              </w:rPr>
              <w:t>tokenId、userId、method、path、status、duration、ip</w:t>
            </w:r>
          </w:p>
        </w:tc>
        <w:tc>
          <w:tcPr>
            <w:tcW w:type="dxa" w:w="3360"/>
            <w:shd w:fill="FAFBFC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7"/>
              </w:rPr>
              <w:t>保存服务API调用审计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PingFang SC" w:hAnsi="PingFang SC" w:eastAsia="PingFang SC" w:cs="PingFang SC"/>
          <w:b/>
          <w:color w:val="2E74B5"/>
          <w:sz w:val="26"/>
        </w:rPr>
        <w:t>6.3 关键约束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宋体" w:hAnsi="宋体" w:eastAsia="宋体" w:cs="宋体"/>
          <w:color w:val="172B3A"/>
          <w:sz w:val="22"/>
        </w:rPr>
        <w:t>用户名、项目名、分组名和令牌摘要等需要唯一性的字段由数据库约束保证。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宋体" w:hAnsi="宋体" w:eastAsia="宋体" w:cs="宋体"/>
          <w:color w:val="172B3A"/>
          <w:sz w:val="22"/>
        </w:rPr>
        <w:t>用户删除时，其项目权限和程序权限通过外键级联清理。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宋体" w:hAnsi="宋体" w:eastAsia="宋体" w:cs="宋体"/>
          <w:color w:val="172B3A"/>
          <w:sz w:val="22"/>
        </w:rPr>
        <w:t>分组删除时，项目的groupId置空，避免误删除机器记录。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宋体" w:hAnsi="宋体" w:eastAsia="宋体" w:cs="宋体"/>
          <w:color w:val="172B3A"/>
          <w:sz w:val="22"/>
        </w:rPr>
        <w:t>Supervisor密码不以明文保存，读取配置时由服务端解密后使用。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宋体" w:hAnsi="宋体" w:eastAsia="宋体" w:cs="宋体"/>
          <w:color w:val="172B3A"/>
          <w:sz w:val="22"/>
        </w:rPr>
        <w:t>API令牌只保存摘要，创建响应之外不再提供令牌明文。</w:t>
      </w:r>
    </w:p>
    <w:p>
      <w:pPr>
        <w:pStyle w:val="Heading2"/>
      </w:pPr>
      <w:r>
        <w:rPr>
          <w:rFonts w:ascii="PingFang SC" w:hAnsi="PingFang SC" w:eastAsia="PingFang SC" w:cs="PingFang SC"/>
          <w:b/>
          <w:color w:val="2E74B5"/>
          <w:sz w:val="26"/>
        </w:rPr>
        <w:t>6.4 程序标识</w:t>
      </w:r>
    </w:p>
    <w:p>
      <w:pPr>
        <w:spacing w:after="120" w:line="300" w:lineRule="auto"/>
        <w:ind w:firstLine="420"/>
        <w:jc w:val="both"/>
      </w:pPr>
      <w:r>
        <w:rPr>
          <w:rFonts w:ascii="宋体" w:hAnsi="宋体" w:eastAsia="宋体" w:cs="宋体"/>
          <w:color w:val="172B3A"/>
          <w:sz w:val="22"/>
        </w:rPr>
        <w:t>系统使用可解析的程序标识关联机器和程序名称。后端programId工具负责在接口路径和权限记录中解析该标识，使同名程序在不同机器上仍可准确定位。程序级权限记录使用完整程序标识，权限校验时先判断该记录，再回退到机器级权限。</w:t>
      </w:r>
    </w:p>
    <w:p>
      <w:pPr>
        <w:pStyle w:val="Heading1"/>
      </w:pPr>
      <w:r>
        <w:rPr>
          <w:rFonts w:ascii="PingFang SC" w:hAnsi="PingFang SC" w:eastAsia="PingFang SC" w:cs="PingFang SC"/>
          <w:b/>
          <w:color w:val="2E74B5"/>
          <w:sz w:val="32"/>
        </w:rPr>
        <w:t>7 用户操作说明</w:t>
      </w:r>
    </w:p>
    <w:p>
      <w:pPr>
        <w:pStyle w:val="Heading2"/>
      </w:pPr>
      <w:r>
        <w:rPr>
          <w:rFonts w:ascii="PingFang SC" w:hAnsi="PingFang SC" w:eastAsia="PingFang SC" w:cs="PingFang SC"/>
          <w:b/>
          <w:color w:val="2E74B5"/>
          <w:sz w:val="26"/>
        </w:rPr>
        <w:t>7.1 首次启动与管理员账户</w:t>
      </w:r>
    </w:p>
    <w:p>
      <w:pPr>
        <w:spacing w:after="120" w:line="300" w:lineRule="auto"/>
        <w:ind w:firstLine="420"/>
        <w:jc w:val="both"/>
      </w:pPr>
      <w:r>
        <w:rPr>
          <w:rFonts w:ascii="宋体" w:hAnsi="宋体" w:eastAsia="宋体" w:cs="宋体"/>
          <w:color w:val="172B3A"/>
          <w:sz w:val="22"/>
        </w:rPr>
        <w:t>系统第一次连接空数据库时自动创建角色和超级管理员admin，并生成随机初始密码。管理员应从受控的启动日志中获取该密码，首次登录后立即修改。生产环境不得在工单、聊天记录或公开文档中长期保存初始密码。</w:t>
      </w:r>
    </w:p>
    <w:p>
      <w:pPr>
        <w:pStyle w:val="Heading2"/>
      </w:pPr>
      <w:r>
        <w:rPr>
          <w:rFonts w:ascii="PingFang SC" w:hAnsi="PingFang SC" w:eastAsia="PingFang SC" w:cs="PingFang SC"/>
          <w:b/>
          <w:color w:val="2E74B5"/>
          <w:sz w:val="26"/>
        </w:rPr>
        <w:t>7.2 登录系统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宋体" w:hAnsi="宋体" w:eastAsia="宋体" w:cs="宋体"/>
          <w:color w:val="172B3A"/>
          <w:sz w:val="22"/>
        </w:rPr>
        <w:t>在浏览器中打开系统地址，例如生产单端口部署的http(s)://服务器地址:6002。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宋体" w:hAnsi="宋体" w:eastAsia="宋体" w:cs="宋体"/>
          <w:color w:val="172B3A"/>
          <w:sz w:val="22"/>
        </w:rPr>
        <w:t>在登录页输入用户名和密码。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宋体" w:hAnsi="宋体" w:eastAsia="宋体" w:cs="宋体"/>
          <w:color w:val="172B3A"/>
          <w:sz w:val="22"/>
        </w:rPr>
        <w:t>单击“登录”按钮。系统验证成功后进入进程管理主面板。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宋体" w:hAnsi="宋体" w:eastAsia="宋体" w:cs="宋体"/>
          <w:color w:val="172B3A"/>
          <w:sz w:val="22"/>
        </w:rPr>
        <w:t>若连续多次输入错误，系统可能触发每IP每分钟5次的登录限制，应稍后重试并核对账户状态。</w:t>
      </w:r>
    </w:p>
    <w:p>
      <w:pPr>
        <w:pStyle w:val="Heading2"/>
      </w:pPr>
      <w:r>
        <w:rPr>
          <w:rFonts w:ascii="PingFang SC" w:hAnsi="PingFang SC" w:eastAsia="PingFang SC" w:cs="PingFang SC"/>
          <w:b/>
          <w:color w:val="2E74B5"/>
          <w:sz w:val="26"/>
        </w:rPr>
        <w:t>7.3 主面板布局</w:t>
      </w:r>
    </w:p>
    <w:p>
      <w:pPr>
        <w:spacing w:after="120" w:line="300" w:lineRule="auto"/>
        <w:ind w:firstLine="420"/>
        <w:jc w:val="both"/>
      </w:pPr>
      <w:r>
        <w:rPr>
          <w:rFonts w:ascii="宋体" w:hAnsi="宋体" w:eastAsia="宋体" w:cs="宋体"/>
          <w:color w:val="172B3A"/>
          <w:sz w:val="22"/>
        </w:rPr>
        <w:t>主面板由左侧资源树、顶部工具区、统计区和进程列表组成。左侧资源树按分组展示机器，并显示连接状态；顶部区域提供搜索、折叠侧栏、用户菜单和管理入口；统计区显示程序总数、运行中、已停止和异常数；列表区域展示当前选择范围内的程序及其操作按钮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700"/>
        <w:gridCol w:w="39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PingFang SC" w:hAnsi="PingFang SC" w:eastAsia="PingFang SC" w:cs="PingFang SC"/>
                <w:b/>
                <w:color w:val="1F4D78"/>
                <w:sz w:val="19"/>
              </w:rPr>
              <w:t>区域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PingFang SC" w:hAnsi="PingFang SC" w:eastAsia="PingFang SC" w:cs="PingFang SC"/>
                <w:b/>
                <w:color w:val="1F4D78"/>
                <w:sz w:val="19"/>
              </w:rPr>
              <w:t>显示内容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PingFang SC" w:hAnsi="PingFang SC" w:eastAsia="PingFang SC" w:cs="PingFang SC"/>
                <w:b/>
                <w:color w:val="1F4D78"/>
                <w:sz w:val="19"/>
              </w:rPr>
              <w:t>常用操作</w:t>
            </w:r>
          </w:p>
        </w:tc>
      </w:tr>
      <w:tr>
        <w:tc>
          <w:tcPr>
            <w:tcW w:type="dxa" w:w="170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color w:val="172B3A"/>
                <w:sz w:val="19"/>
              </w:rPr>
              <w:t>资源树</w:t>
            </w:r>
          </w:p>
        </w:tc>
        <w:tc>
          <w:tcPr>
            <w:tcW w:type="dxa" w:w="3700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9"/>
              </w:rPr>
              <w:t>分组、机器、连接状态</w:t>
            </w:r>
          </w:p>
        </w:tc>
        <w:tc>
          <w:tcPr>
            <w:tcW w:type="dxa" w:w="3960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9"/>
              </w:rPr>
              <w:t>展开分组、选择机器、搜索机器</w:t>
            </w:r>
          </w:p>
        </w:tc>
      </w:tr>
      <w:tr>
        <w:tc>
          <w:tcPr>
            <w:tcW w:type="dxa" w:w="1700"/>
            <w:shd w:fill="FAFBFC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color w:val="172B3A"/>
                <w:sz w:val="19"/>
              </w:rPr>
              <w:t>统计区</w:t>
            </w:r>
          </w:p>
        </w:tc>
        <w:tc>
          <w:tcPr>
            <w:tcW w:type="dxa" w:w="3700"/>
            <w:shd w:fill="FAFBFC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9"/>
              </w:rPr>
              <w:t>总数、运行、停止、异常</w:t>
            </w:r>
          </w:p>
        </w:tc>
        <w:tc>
          <w:tcPr>
            <w:tcW w:type="dxa" w:w="3960"/>
            <w:shd w:fill="FAFBFC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9"/>
              </w:rPr>
              <w:t>快速判断运行态势</w:t>
            </w:r>
          </w:p>
        </w:tc>
      </w:tr>
      <w:tr>
        <w:tc>
          <w:tcPr>
            <w:tcW w:type="dxa" w:w="170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color w:val="172B3A"/>
                <w:sz w:val="19"/>
              </w:rPr>
              <w:t>进程表</w:t>
            </w:r>
          </w:p>
        </w:tc>
        <w:tc>
          <w:tcPr>
            <w:tcW w:type="dxa" w:w="3700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9"/>
              </w:rPr>
              <w:t>程序名、状态、运行时间、操作</w:t>
            </w:r>
          </w:p>
        </w:tc>
        <w:tc>
          <w:tcPr>
            <w:tcW w:type="dxa" w:w="3960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9"/>
              </w:rPr>
              <w:t>搜索、启动、停止、重启、查看日志</w:t>
            </w:r>
          </w:p>
        </w:tc>
      </w:tr>
      <w:tr>
        <w:tc>
          <w:tcPr>
            <w:tcW w:type="dxa" w:w="1700"/>
            <w:shd w:fill="FAFBFC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color w:val="172B3A"/>
                <w:sz w:val="19"/>
              </w:rPr>
              <w:t>用户菜单</w:t>
            </w:r>
          </w:p>
        </w:tc>
        <w:tc>
          <w:tcPr>
            <w:tcW w:type="dxa" w:w="3700"/>
            <w:shd w:fill="FAFBFC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9"/>
              </w:rPr>
              <w:t>当前用户与管理入口</w:t>
            </w:r>
          </w:p>
        </w:tc>
        <w:tc>
          <w:tcPr>
            <w:tcW w:type="dxa" w:w="3960"/>
            <w:shd w:fill="FAFBFC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9"/>
              </w:rPr>
              <w:t>修改密码、用户管理、退出登录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PingFang SC" w:hAnsi="PingFang SC" w:eastAsia="PingFang SC" w:cs="PingFang SC"/>
          <w:b/>
          <w:color w:val="2E74B5"/>
          <w:sz w:val="26"/>
        </w:rPr>
        <w:t>7.4 查看机器和进程</w:t>
      </w:r>
    </w:p>
    <w:p>
      <w:pPr>
        <w:numPr>
          <w:ilvl w:val="0"/>
          <w:numId w:val="42"/>
        </w:numPr>
        <w:spacing w:after="80" w:line="300" w:lineRule="auto"/>
      </w:pPr>
      <w:r>
        <w:rPr>
          <w:rFonts w:ascii="宋体" w:hAnsi="宋体" w:eastAsia="宋体" w:cs="宋体"/>
          <w:color w:val="172B3A"/>
          <w:sz w:val="22"/>
        </w:rPr>
        <w:t>在左侧分组树中展开目标分组。</w:t>
      </w:r>
    </w:p>
    <w:p>
      <w:pPr>
        <w:numPr>
          <w:ilvl w:val="0"/>
          <w:numId w:val="42"/>
        </w:numPr>
        <w:spacing w:after="80" w:line="300" w:lineRule="auto"/>
      </w:pPr>
      <w:r>
        <w:rPr>
          <w:rFonts w:ascii="宋体" w:hAnsi="宋体" w:eastAsia="宋体" w:cs="宋体"/>
          <w:color w:val="172B3A"/>
          <w:sz w:val="22"/>
        </w:rPr>
        <w:t>观察机器旁的状态标识；连接检查中、在线和离线采用不同状态展示。</w:t>
      </w:r>
    </w:p>
    <w:p>
      <w:pPr>
        <w:numPr>
          <w:ilvl w:val="0"/>
          <w:numId w:val="42"/>
        </w:numPr>
        <w:spacing w:after="80" w:line="300" w:lineRule="auto"/>
      </w:pPr>
      <w:r>
        <w:rPr>
          <w:rFonts w:ascii="宋体" w:hAnsi="宋体" w:eastAsia="宋体" w:cs="宋体"/>
          <w:color w:val="172B3A"/>
          <w:sz w:val="22"/>
        </w:rPr>
        <w:t>单击目标机器，页面加载该机器的进程列表。</w:t>
      </w:r>
    </w:p>
    <w:p>
      <w:pPr>
        <w:numPr>
          <w:ilvl w:val="0"/>
          <w:numId w:val="42"/>
        </w:numPr>
        <w:spacing w:after="80" w:line="300" w:lineRule="auto"/>
      </w:pPr>
      <w:r>
        <w:rPr>
          <w:rFonts w:ascii="宋体" w:hAnsi="宋体" w:eastAsia="宋体" w:cs="宋体"/>
          <w:color w:val="172B3A"/>
          <w:sz w:val="22"/>
        </w:rPr>
        <w:t>在搜索框输入程序名关键字，列表即时过滤。</w:t>
      </w:r>
    </w:p>
    <w:p>
      <w:pPr>
        <w:numPr>
          <w:ilvl w:val="0"/>
          <w:numId w:val="42"/>
        </w:numPr>
        <w:spacing w:after="80" w:line="300" w:lineRule="auto"/>
      </w:pPr>
      <w:r>
        <w:rPr>
          <w:rFonts w:ascii="宋体" w:hAnsi="宋体" w:eastAsia="宋体" w:cs="宋体"/>
          <w:color w:val="172B3A"/>
          <w:sz w:val="22"/>
        </w:rPr>
        <w:t>查看状态标签和运行时间；异常状态包括FATAL、BACKOFF、UNKNOWN和EXITED等。</w:t>
      </w:r>
    </w:p>
    <w:p>
      <w:pPr>
        <w:pStyle w:val="Heading2"/>
      </w:pPr>
      <w:r>
        <w:rPr>
          <w:rFonts w:ascii="PingFang SC" w:hAnsi="PingFang SC" w:eastAsia="PingFang SC" w:cs="PingFang SC"/>
          <w:b/>
          <w:color w:val="2E74B5"/>
          <w:sz w:val="26"/>
        </w:rPr>
        <w:t>7.5 控制单个进程</w:t>
      </w:r>
    </w:p>
    <w:p>
      <w:pPr>
        <w:numPr>
          <w:ilvl w:val="0"/>
          <w:numId w:val="43"/>
        </w:numPr>
        <w:spacing w:after="80" w:line="300" w:lineRule="auto"/>
      </w:pPr>
      <w:r>
        <w:rPr>
          <w:rFonts w:ascii="宋体" w:hAnsi="宋体" w:eastAsia="宋体" w:cs="宋体"/>
          <w:color w:val="172B3A"/>
          <w:sz w:val="22"/>
        </w:rPr>
        <w:t>确认当前选择的机器和程序名称，避免操作错误目标。</w:t>
      </w:r>
    </w:p>
    <w:p>
      <w:pPr>
        <w:numPr>
          <w:ilvl w:val="0"/>
          <w:numId w:val="43"/>
        </w:numPr>
        <w:spacing w:after="80" w:line="300" w:lineRule="auto"/>
      </w:pPr>
      <w:r>
        <w:rPr>
          <w:rFonts w:ascii="宋体" w:hAnsi="宋体" w:eastAsia="宋体" w:cs="宋体"/>
          <w:color w:val="172B3A"/>
          <w:sz w:val="22"/>
        </w:rPr>
        <w:t>根据当前状态单击启动、停止或重启图标按钮。</w:t>
      </w:r>
    </w:p>
    <w:p>
      <w:pPr>
        <w:numPr>
          <w:ilvl w:val="0"/>
          <w:numId w:val="43"/>
        </w:numPr>
        <w:spacing w:after="80" w:line="300" w:lineRule="auto"/>
      </w:pPr>
      <w:r>
        <w:rPr>
          <w:rFonts w:ascii="宋体" w:hAnsi="宋体" w:eastAsia="宋体" w:cs="宋体"/>
          <w:color w:val="172B3A"/>
          <w:sz w:val="22"/>
        </w:rPr>
        <w:t>等待系统显示“指令已发送”或错误提示。</w:t>
      </w:r>
    </w:p>
    <w:p>
      <w:pPr>
        <w:numPr>
          <w:ilvl w:val="0"/>
          <w:numId w:val="43"/>
        </w:numPr>
        <w:spacing w:after="80" w:line="300" w:lineRule="auto"/>
      </w:pPr>
      <w:r>
        <w:rPr>
          <w:rFonts w:ascii="宋体" w:hAnsi="宋体" w:eastAsia="宋体" w:cs="宋体"/>
          <w:color w:val="172B3A"/>
          <w:sz w:val="22"/>
        </w:rPr>
        <w:t>系统在操作后刷新状态；若Supervisor执行需要时间，可稍后观察状态变化。</w:t>
      </w:r>
    </w:p>
    <w:p>
      <w:pPr>
        <w:numPr>
          <w:ilvl w:val="0"/>
          <w:numId w:val="43"/>
        </w:numPr>
        <w:spacing w:after="80" w:line="300" w:lineRule="auto"/>
      </w:pPr>
      <w:r>
        <w:rPr>
          <w:rFonts w:ascii="宋体" w:hAnsi="宋体" w:eastAsia="宋体" w:cs="宋体"/>
          <w:color w:val="172B3A"/>
          <w:sz w:val="22"/>
        </w:rPr>
        <w:t>若收到403提示，说明当前账户缺少该机器或程序权限，应联系管理员调整授权。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EDED"/>
          </w:tcPr>
          <w:p>
            <w:pPr>
              <w:spacing w:after="0"/>
            </w:pPr>
            <w:r>
              <w:rPr>
                <w:rFonts w:ascii="PingFang SC" w:hAnsi="PingFang SC" w:eastAsia="PingFang SC" w:cs="PingFang SC"/>
                <w:b/>
                <w:color w:val="9B1C1C"/>
                <w:sz w:val="21"/>
              </w:rPr>
              <w:t>操作风险：</w:t>
            </w:r>
            <w:r>
              <w:rPr>
                <w:rFonts w:ascii="宋体" w:hAnsi="宋体" w:eastAsia="宋体" w:cs="宋体"/>
                <w:color w:val="172B3A"/>
                <w:sz w:val="21"/>
              </w:rPr>
              <w:t>停止、重启和全部操作会影响业务进程可用性。生产环境应先确认维护窗口、目标机器和程序名称，并遵循公司变更管理制度。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PingFang SC" w:hAnsi="PingFang SC" w:eastAsia="PingFang SC" w:cs="PingFang SC"/>
          <w:b/>
          <w:color w:val="2E74B5"/>
          <w:sz w:val="26"/>
        </w:rPr>
        <w:t>7.6 批量控制与配置重载</w:t>
      </w:r>
    </w:p>
    <w:p>
      <w:pPr>
        <w:spacing w:after="120" w:line="300" w:lineRule="auto"/>
        <w:ind w:firstLine="420"/>
        <w:jc w:val="both"/>
      </w:pPr>
      <w:r>
        <w:rPr>
          <w:rFonts w:ascii="宋体" w:hAnsi="宋体" w:eastAsia="宋体" w:cs="宋体"/>
          <w:color w:val="172B3A"/>
          <w:sz w:val="22"/>
        </w:rPr>
        <w:t>在机器级操作菜单中，可选择全部启动、全部停止、全部重启和重载Supervisor配置。批量操作作用于当前机器上的全部程序，影响范围大。执行前应检查机器名称、程序列表和业务窗口；重载配置用于让Supervisor重新读取配置，不等同于修改SuperD中的机器信息。</w:t>
      </w:r>
    </w:p>
    <w:p>
      <w:pPr>
        <w:pStyle w:val="Heading2"/>
      </w:pPr>
      <w:r>
        <w:rPr>
          <w:rFonts w:ascii="PingFang SC" w:hAnsi="PingFang SC" w:eastAsia="PingFang SC" w:cs="PingFang SC"/>
          <w:b/>
          <w:color w:val="2E74B5"/>
          <w:sz w:val="26"/>
        </w:rPr>
        <w:t>7.7 查看实时日志</w:t>
      </w:r>
    </w:p>
    <w:p>
      <w:pPr>
        <w:numPr>
          <w:ilvl w:val="0"/>
          <w:numId w:val="44"/>
        </w:numPr>
        <w:spacing w:after="80" w:line="300" w:lineRule="auto"/>
      </w:pPr>
      <w:r>
        <w:rPr>
          <w:rFonts w:ascii="宋体" w:hAnsi="宋体" w:eastAsia="宋体" w:cs="宋体"/>
          <w:color w:val="172B3A"/>
          <w:sz w:val="22"/>
        </w:rPr>
        <w:t>在进程列表中进入目标程序的详情或日志入口。</w:t>
      </w:r>
    </w:p>
    <w:p>
      <w:pPr>
        <w:numPr>
          <w:ilvl w:val="0"/>
          <w:numId w:val="44"/>
        </w:numPr>
        <w:spacing w:after="80" w:line="300" w:lineRule="auto"/>
      </w:pPr>
      <w:r>
        <w:rPr>
          <w:rFonts w:ascii="宋体" w:hAnsi="宋体" w:eastAsia="宋体" w:cs="宋体"/>
          <w:color w:val="172B3A"/>
          <w:sz w:val="22"/>
        </w:rPr>
        <w:t>选择stdout或stderr日志类型。</w:t>
      </w:r>
    </w:p>
    <w:p>
      <w:pPr>
        <w:numPr>
          <w:ilvl w:val="0"/>
          <w:numId w:val="44"/>
        </w:numPr>
        <w:spacing w:after="80" w:line="300" w:lineRule="auto"/>
      </w:pPr>
      <w:r>
        <w:rPr>
          <w:rFonts w:ascii="宋体" w:hAnsi="宋体" w:eastAsia="宋体" w:cs="宋体"/>
          <w:color w:val="172B3A"/>
          <w:sz w:val="22"/>
        </w:rPr>
        <w:t>日志终端建立Socket.io连接后显示新的增量输出。</w:t>
      </w:r>
    </w:p>
    <w:p>
      <w:pPr>
        <w:numPr>
          <w:ilvl w:val="0"/>
          <w:numId w:val="44"/>
        </w:numPr>
        <w:spacing w:after="80" w:line="300" w:lineRule="auto"/>
      </w:pPr>
      <w:r>
        <w:rPr>
          <w:rFonts w:ascii="宋体" w:hAnsi="宋体" w:eastAsia="宋体" w:cs="宋体"/>
          <w:color w:val="172B3A"/>
          <w:sz w:val="22"/>
        </w:rPr>
        <w:t>需要检查历史内容时可暂停滚动；恢复后继续接收后续日志。</w:t>
      </w:r>
    </w:p>
    <w:p>
      <w:pPr>
        <w:numPr>
          <w:ilvl w:val="0"/>
          <w:numId w:val="44"/>
        </w:numPr>
        <w:spacing w:after="80" w:line="300" w:lineRule="auto"/>
      </w:pPr>
      <w:r>
        <w:rPr>
          <w:rFonts w:ascii="宋体" w:hAnsi="宋体" w:eastAsia="宋体" w:cs="宋体"/>
          <w:color w:val="172B3A"/>
          <w:sz w:val="22"/>
        </w:rPr>
        <w:t>选择终端文本即可复制，注意避免将密钥、令牌或个人信息粘贴到不受控位置。</w:t>
      </w:r>
    </w:p>
    <w:p>
      <w:pPr>
        <w:pStyle w:val="Heading2"/>
      </w:pPr>
      <w:r>
        <w:rPr>
          <w:rFonts w:ascii="PingFang SC" w:hAnsi="PingFang SC" w:eastAsia="PingFang SC" w:cs="PingFang SC"/>
          <w:b/>
          <w:color w:val="2E74B5"/>
          <w:sz w:val="26"/>
        </w:rPr>
        <w:t>7.8 管理分组和机器</w:t>
      </w:r>
    </w:p>
    <w:p>
      <w:pPr>
        <w:spacing w:after="120" w:line="300" w:lineRule="auto"/>
        <w:ind w:firstLine="420"/>
        <w:jc w:val="both"/>
      </w:pPr>
      <w:r>
        <w:rPr>
          <w:rFonts w:ascii="宋体" w:hAnsi="宋体" w:eastAsia="宋体" w:cs="宋体"/>
          <w:color w:val="172B3A"/>
          <w:sz w:val="22"/>
        </w:rPr>
        <w:t>超级管理员通过项目管理弹窗新增、编辑或删除机器，并设置名称、说明、Supervisor主机、端口、用户名、密码和所属分组。新增后系统检查连接状态。编辑密码时应使用受控凭据；删除机器只删除SuperD中的连接记录，不会自动卸载目标服务器的Supervisor或删除目标进程。</w:t>
      </w:r>
    </w:p>
    <w:p>
      <w:pPr>
        <w:pStyle w:val="Heading2"/>
      </w:pPr>
      <w:r>
        <w:rPr>
          <w:rFonts w:ascii="PingFang SC" w:hAnsi="PingFang SC" w:eastAsia="PingFang SC" w:cs="PingFang SC"/>
          <w:b/>
          <w:color w:val="2E74B5"/>
          <w:sz w:val="26"/>
        </w:rPr>
        <w:t>7.9 管理用户</w:t>
      </w:r>
    </w:p>
    <w:p>
      <w:pPr>
        <w:spacing w:after="120" w:line="300" w:lineRule="auto"/>
        <w:ind w:firstLine="420"/>
        <w:jc w:val="both"/>
      </w:pPr>
      <w:r>
        <w:rPr>
          <w:rFonts w:ascii="宋体" w:hAnsi="宋体" w:eastAsia="宋体" w:cs="宋体"/>
          <w:color w:val="172B3A"/>
          <w:sz w:val="22"/>
        </w:rPr>
        <w:t>超级管理员可查看全部管理员和普通用户，并调整角色、上级管理员、密码和资源权限。普通管理员只能管理自己的组员，并只能创建普通用户。系统界面支持按用户名、角色或上级关系筛选用户。admin账号受特殊保护，不应被普通管理操作删除或降级。</w:t>
      </w:r>
    </w:p>
    <w:p>
      <w:pPr>
        <w:pStyle w:val="Heading2"/>
      </w:pPr>
      <w:r>
        <w:rPr>
          <w:rFonts w:ascii="PingFang SC" w:hAnsi="PingFang SC" w:eastAsia="PingFang SC" w:cs="PingFang SC"/>
          <w:b/>
          <w:color w:val="2E74B5"/>
          <w:sz w:val="26"/>
        </w:rPr>
        <w:t>7.10 配置资源权限</w:t>
      </w:r>
    </w:p>
    <w:p>
      <w:pPr>
        <w:numPr>
          <w:ilvl w:val="0"/>
          <w:numId w:val="45"/>
        </w:numPr>
        <w:spacing w:after="80" w:line="300" w:lineRule="auto"/>
      </w:pPr>
      <w:r>
        <w:rPr>
          <w:rFonts w:ascii="宋体" w:hAnsi="宋体" w:eastAsia="宋体" w:cs="宋体"/>
          <w:color w:val="172B3A"/>
          <w:sz w:val="22"/>
        </w:rPr>
        <w:t>进入用户管理并选择目标普通用户。</w:t>
      </w:r>
    </w:p>
    <w:p>
      <w:pPr>
        <w:numPr>
          <w:ilvl w:val="0"/>
          <w:numId w:val="45"/>
        </w:numPr>
        <w:spacing w:after="80" w:line="300" w:lineRule="auto"/>
      </w:pPr>
      <w:r>
        <w:rPr>
          <w:rFonts w:ascii="宋体" w:hAnsi="宋体" w:eastAsia="宋体" w:cs="宋体"/>
          <w:color w:val="172B3A"/>
          <w:sz w:val="22"/>
        </w:rPr>
        <w:t>若用户需要操作某台机器的全部程序，为其添加机器级权限。</w:t>
      </w:r>
    </w:p>
    <w:p>
      <w:pPr>
        <w:numPr>
          <w:ilvl w:val="0"/>
          <w:numId w:val="45"/>
        </w:numPr>
        <w:spacing w:after="80" w:line="300" w:lineRule="auto"/>
      </w:pPr>
      <w:r>
        <w:rPr>
          <w:rFonts w:ascii="宋体" w:hAnsi="宋体" w:eastAsia="宋体" w:cs="宋体"/>
          <w:color w:val="172B3A"/>
          <w:sz w:val="22"/>
        </w:rPr>
        <w:t>若用户只需要操作少量程序，为其添加具体程序权限。</w:t>
      </w:r>
    </w:p>
    <w:p>
      <w:pPr>
        <w:numPr>
          <w:ilvl w:val="0"/>
          <w:numId w:val="45"/>
        </w:numPr>
        <w:spacing w:after="80" w:line="300" w:lineRule="auto"/>
      </w:pPr>
      <w:r>
        <w:rPr>
          <w:rFonts w:ascii="宋体" w:hAnsi="宋体" w:eastAsia="宋体" w:cs="宋体"/>
          <w:color w:val="172B3A"/>
          <w:sz w:val="22"/>
        </w:rPr>
        <w:t>保存后使用该用户账户验证资源可见范围和操作结果。</w:t>
      </w:r>
    </w:p>
    <w:p>
      <w:pPr>
        <w:numPr>
          <w:ilvl w:val="0"/>
          <w:numId w:val="45"/>
        </w:numPr>
        <w:spacing w:after="80" w:line="300" w:lineRule="auto"/>
      </w:pPr>
      <w:r>
        <w:rPr>
          <w:rFonts w:ascii="宋体" w:hAnsi="宋体" w:eastAsia="宋体" w:cs="宋体"/>
          <w:color w:val="172B3A"/>
          <w:sz w:val="22"/>
        </w:rPr>
        <w:t>移除权限后再次验证，确保用户无法通过接口绕过前端访问未授权资源。</w:t>
      </w:r>
    </w:p>
    <w:p>
      <w:pPr>
        <w:pStyle w:val="Heading2"/>
      </w:pPr>
      <w:r>
        <w:rPr>
          <w:rFonts w:ascii="PingFang SC" w:hAnsi="PingFang SC" w:eastAsia="PingFang SC" w:cs="PingFang SC"/>
          <w:b/>
          <w:color w:val="2E74B5"/>
          <w:sz w:val="26"/>
        </w:rPr>
        <w:t>7.11 修改密码与退出</w:t>
      </w:r>
    </w:p>
    <w:p>
      <w:pPr>
        <w:spacing w:after="120" w:line="300" w:lineRule="auto"/>
        <w:ind w:firstLine="420"/>
        <w:jc w:val="both"/>
      </w:pPr>
      <w:r>
        <w:rPr>
          <w:rFonts w:ascii="宋体" w:hAnsi="宋体" w:eastAsia="宋体" w:cs="宋体"/>
          <w:color w:val="172B3A"/>
          <w:sz w:val="22"/>
        </w:rPr>
        <w:t>用户可从个人菜单打开修改密码窗口，按系统要求输入新密码并提交。管理员也可在权限范围内为受管用户重置密码。完成操作后应退出登录，尤其是在共享终端或临时运维电脑上。退出后前端清理登录态，访问受保护页面会重新跳转到登录页。</w:t>
      </w:r>
    </w:p>
    <w:p>
      <w:pPr>
        <w:pStyle w:val="Heading1"/>
      </w:pPr>
      <w:r>
        <w:rPr>
          <w:rFonts w:ascii="PingFang SC" w:hAnsi="PingFang SC" w:eastAsia="PingFang SC" w:cs="PingFang SC"/>
          <w:b/>
          <w:color w:val="2E74B5"/>
          <w:sz w:val="32"/>
        </w:rPr>
        <w:t>8 服务API使用说明</w:t>
      </w:r>
    </w:p>
    <w:p>
      <w:pPr>
        <w:pStyle w:val="Heading2"/>
      </w:pPr>
      <w:r>
        <w:rPr>
          <w:rFonts w:ascii="PingFang SC" w:hAnsi="PingFang SC" w:eastAsia="PingFang SC" w:cs="PingFang SC"/>
          <w:b/>
          <w:color w:val="2E74B5"/>
          <w:sz w:val="26"/>
        </w:rPr>
        <w:t>8.1 适用场景</w:t>
      </w:r>
    </w:p>
    <w:p>
      <w:pPr>
        <w:spacing w:after="120" w:line="300" w:lineRule="auto"/>
        <w:ind w:firstLine="420"/>
        <w:jc w:val="both"/>
      </w:pPr>
      <w:r>
        <w:rPr>
          <w:rFonts w:ascii="宋体" w:hAnsi="宋体" w:eastAsia="宋体" w:cs="宋体"/>
          <w:color w:val="172B3A"/>
          <w:sz w:val="22"/>
        </w:rPr>
        <w:t>服务API用于告警平台、巡检任务、发布系统或其他长期运行程序访问SuperD。网页登录返回的JWT适合人员交互，不应作为长期集成凭据；外部服务应使用专门创建的API Token，并只授予所需scope和资源权限。</w:t>
      </w:r>
    </w:p>
    <w:p>
      <w:pPr>
        <w:pStyle w:val="Heading2"/>
      </w:pPr>
      <w:r>
        <w:rPr>
          <w:rFonts w:ascii="PingFang SC" w:hAnsi="PingFang SC" w:eastAsia="PingFang SC" w:cs="PingFang SC"/>
          <w:b/>
          <w:color w:val="2E74B5"/>
          <w:sz w:val="26"/>
        </w:rPr>
        <w:t>8.2 创建与保管令牌</w:t>
      </w:r>
    </w:p>
    <w:p>
      <w:pPr>
        <w:numPr>
          <w:ilvl w:val="0"/>
          <w:numId w:val="46"/>
        </w:numPr>
        <w:spacing w:after="80" w:line="300" w:lineRule="auto"/>
      </w:pPr>
      <w:r>
        <w:rPr>
          <w:rFonts w:ascii="宋体" w:hAnsi="宋体" w:eastAsia="宋体" w:cs="宋体"/>
          <w:color w:val="172B3A"/>
          <w:sz w:val="22"/>
        </w:rPr>
        <w:t>超级管理员先创建或选择一个专用于集成的用户，并配置必要的机器/程序权限。</w:t>
      </w:r>
    </w:p>
    <w:p>
      <w:pPr>
        <w:numPr>
          <w:ilvl w:val="0"/>
          <w:numId w:val="46"/>
        </w:numPr>
        <w:spacing w:after="80" w:line="300" w:lineRule="auto"/>
      </w:pPr>
      <w:r>
        <w:rPr>
          <w:rFonts w:ascii="宋体" w:hAnsi="宋体" w:eastAsia="宋体" w:cs="宋体"/>
          <w:color w:val="172B3A"/>
          <w:sz w:val="22"/>
        </w:rPr>
        <w:t>使用管理员JWT调用POST /api/api-tokens，提交userId、name、scopes和有效期。</w:t>
      </w:r>
    </w:p>
    <w:p>
      <w:pPr>
        <w:numPr>
          <w:ilvl w:val="0"/>
          <w:numId w:val="46"/>
        </w:numPr>
        <w:spacing w:after="80" w:line="300" w:lineRule="auto"/>
      </w:pPr>
      <w:r>
        <w:rPr>
          <w:rFonts w:ascii="宋体" w:hAnsi="宋体" w:eastAsia="宋体" w:cs="宋体"/>
          <w:color w:val="172B3A"/>
          <w:sz w:val="22"/>
        </w:rPr>
        <w:t>创建响应只返回一次sd_开头的明文令牌，应立即写入调用方的密钥管理系统。</w:t>
      </w:r>
    </w:p>
    <w:p>
      <w:pPr>
        <w:numPr>
          <w:ilvl w:val="0"/>
          <w:numId w:val="46"/>
        </w:numPr>
        <w:spacing w:after="80" w:line="300" w:lineRule="auto"/>
      </w:pPr>
      <w:r>
        <w:rPr>
          <w:rFonts w:ascii="宋体" w:hAnsi="宋体" w:eastAsia="宋体" w:cs="宋体"/>
          <w:color w:val="172B3A"/>
          <w:sz w:val="22"/>
        </w:rPr>
        <w:t>不得把令牌提交到Git仓库、普通日志、聊天群或公开文档。</w:t>
      </w:r>
    </w:p>
    <w:p>
      <w:pPr>
        <w:numPr>
          <w:ilvl w:val="0"/>
          <w:numId w:val="46"/>
        </w:numPr>
        <w:spacing w:after="80" w:line="300" w:lineRule="auto"/>
      </w:pPr>
      <w:r>
        <w:rPr>
          <w:rFonts w:ascii="宋体" w:hAnsi="宋体" w:eastAsia="宋体" w:cs="宋体"/>
          <w:color w:val="172B3A"/>
          <w:sz w:val="22"/>
        </w:rPr>
        <w:t>轮换时先创建新令牌并完成调用方切换，再撤销旧令牌。</w:t>
      </w:r>
    </w:p>
    <w:p>
      <w:pPr>
        <w:pStyle w:val="Heading2"/>
      </w:pPr>
      <w:r>
        <w:rPr>
          <w:rFonts w:ascii="PingFang SC" w:hAnsi="PingFang SC" w:eastAsia="PingFang SC" w:cs="PingFang SC"/>
          <w:b/>
          <w:color w:val="2E74B5"/>
          <w:sz w:val="26"/>
        </w:rPr>
        <w:t>8.3 请求方式</w:t>
      </w:r>
    </w:p>
    <w:p>
      <w:pPr>
        <w:spacing w:after="120" w:line="300" w:lineRule="auto"/>
        <w:ind w:firstLine="420"/>
        <w:jc w:val="both"/>
      </w:pPr>
      <w:r>
        <w:rPr>
          <w:rFonts w:ascii="宋体" w:hAnsi="宋体" w:eastAsia="宋体" w:cs="宋体"/>
          <w:color w:val="172B3A"/>
          <w:sz w:val="22"/>
        </w:rPr>
        <w:t>调用方在HTTP Authorization请求头中使用Bearer方案携带服务令牌，例如“Authorization: Bearer sd_&lt;SERVICE_TOKEN&gt;”。接口以/api为稳定v1基线，可通过GET /api/version查询版本。调用方应依据HTTP状态码和message字段处理失败，不依赖未文档化字段。</w:t>
      </w:r>
    </w:p>
    <w:p>
      <w:pPr>
        <w:pStyle w:val="Heading2"/>
      </w:pPr>
      <w:r>
        <w:rPr>
          <w:rFonts w:ascii="PingFang SC" w:hAnsi="PingFang SC" w:eastAsia="PingFang SC" w:cs="PingFang SC"/>
          <w:b/>
          <w:color w:val="2E74B5"/>
          <w:sz w:val="26"/>
        </w:rPr>
        <w:t>8.4 Scope范围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6060"/>
      </w:tblGrid>
      <w:tr>
        <w:trPr>
          <w:tblHeader w:val="true"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PingFang SC" w:hAnsi="PingFang SC" w:eastAsia="PingFang SC" w:cs="PingFang SC"/>
                <w:b/>
                <w:color w:val="1F4D78"/>
                <w:sz w:val="19"/>
              </w:rPr>
              <w:t>Scope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PingFang SC" w:hAnsi="PingFang SC" w:eastAsia="PingFang SC" w:cs="PingFang SC"/>
                <w:b/>
                <w:color w:val="1F4D78"/>
                <w:sz w:val="19"/>
              </w:rPr>
              <w:t>允许的能力</w:t>
            </w:r>
          </w:p>
        </w:tc>
      </w:tr>
      <w:tr>
        <w:tc>
          <w:tcPr>
            <w:tcW w:type="dxa" w:w="330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color w:val="172B3A"/>
                <w:sz w:val="19"/>
              </w:rPr>
              <w:t>projects:read / projects:write</w:t>
            </w:r>
          </w:p>
        </w:tc>
        <w:tc>
          <w:tcPr>
            <w:tcW w:type="dxa" w:w="6060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9"/>
              </w:rPr>
              <w:t>读取或维护机器记录</w:t>
            </w:r>
          </w:p>
        </w:tc>
      </w:tr>
      <w:tr>
        <w:tc>
          <w:tcPr>
            <w:tcW w:type="dxa" w:w="3300"/>
            <w:shd w:fill="FAFBFC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color w:val="172B3A"/>
                <w:sz w:val="19"/>
              </w:rPr>
              <w:t>groups:read / groups:write</w:t>
            </w:r>
          </w:p>
        </w:tc>
        <w:tc>
          <w:tcPr>
            <w:tcW w:type="dxa" w:w="6060"/>
            <w:shd w:fill="FAFBFC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9"/>
              </w:rPr>
              <w:t>读取或维护项目分组</w:t>
            </w:r>
          </w:p>
        </w:tc>
      </w:tr>
      <w:tr>
        <w:tc>
          <w:tcPr>
            <w:tcW w:type="dxa" w:w="330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color w:val="172B3A"/>
                <w:sz w:val="19"/>
              </w:rPr>
              <w:t>programs:read / programs:write</w:t>
            </w:r>
          </w:p>
        </w:tc>
        <w:tc>
          <w:tcPr>
            <w:tcW w:type="dxa" w:w="6060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9"/>
              </w:rPr>
              <w:t>读取进程或执行进程控制</w:t>
            </w:r>
          </w:p>
        </w:tc>
      </w:tr>
      <w:tr>
        <w:tc>
          <w:tcPr>
            <w:tcW w:type="dxa" w:w="3300"/>
            <w:shd w:fill="FAFBFC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color w:val="172B3A"/>
                <w:sz w:val="19"/>
              </w:rPr>
              <w:t>logs:read</w:t>
            </w:r>
          </w:p>
        </w:tc>
        <w:tc>
          <w:tcPr>
            <w:tcW w:type="dxa" w:w="6060"/>
            <w:shd w:fill="FAFBFC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9"/>
              </w:rPr>
              <w:t>读取stdout/stderr日志</w:t>
            </w:r>
          </w:p>
        </w:tc>
      </w:tr>
      <w:tr>
        <w:tc>
          <w:tcPr>
            <w:tcW w:type="dxa" w:w="330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color w:val="172B3A"/>
                <w:sz w:val="19"/>
              </w:rPr>
              <w:t>users:read / users:write</w:t>
            </w:r>
          </w:p>
        </w:tc>
        <w:tc>
          <w:tcPr>
            <w:tcW w:type="dxa" w:w="6060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9"/>
              </w:rPr>
              <w:t>读取或维护用户和权限</w:t>
            </w:r>
          </w:p>
        </w:tc>
      </w:tr>
      <w:tr>
        <w:tc>
          <w:tcPr>
            <w:tcW w:type="dxa" w:w="3300"/>
            <w:shd w:fill="FAFBFC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color w:val="172B3A"/>
                <w:sz w:val="19"/>
              </w:rPr>
              <w:t>tokens:manage</w:t>
            </w:r>
          </w:p>
        </w:tc>
        <w:tc>
          <w:tcPr>
            <w:tcW w:type="dxa" w:w="6060"/>
            <w:shd w:fill="FAFBFC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9"/>
              </w:rPr>
              <w:t>管理服务令牌和查看相关审计</w:t>
            </w:r>
          </w:p>
        </w:tc>
      </w:tr>
      <w:tr>
        <w:tc>
          <w:tcPr>
            <w:tcW w:type="dxa" w:w="330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color w:val="172B3A"/>
                <w:sz w:val="19"/>
              </w:rPr>
              <w:t>*</w:t>
            </w:r>
          </w:p>
        </w:tc>
        <w:tc>
          <w:tcPr>
            <w:tcW w:type="dxa" w:w="6060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9"/>
              </w:rPr>
              <w:t>全部scope，仅限严格受控的管理员服务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PingFang SC" w:hAnsi="PingFang SC" w:eastAsia="PingFang SC" w:cs="PingFang SC"/>
          <w:b/>
          <w:color w:val="2E74B5"/>
          <w:sz w:val="26"/>
        </w:rPr>
        <w:t>8.5 撤销与审计</w:t>
      </w:r>
    </w:p>
    <w:p>
      <w:pPr>
        <w:spacing w:after="120" w:line="300" w:lineRule="auto"/>
        <w:ind w:firstLine="420"/>
        <w:jc w:val="both"/>
      </w:pPr>
      <w:r>
        <w:rPr>
          <w:rFonts w:ascii="宋体" w:hAnsi="宋体" w:eastAsia="宋体" w:cs="宋体"/>
          <w:color w:val="172B3A"/>
          <w:sz w:val="22"/>
        </w:rPr>
        <w:t>管理员可通过DELETE /api/api-tokens/:id立即撤销令牌。服务令牌访问受保护接口时，系统在响应完成后写入审计事件，可通过GET /api/api-audit-events查询最近记录。审计记录有助于定位调用方、路径、结果、耗时和来源IP，但企业仍应结合反向代理、主机和数据库日志建立完整留痕。</w:t>
      </w:r>
    </w:p>
    <w:p>
      <w:pPr>
        <w:pStyle w:val="Heading1"/>
      </w:pPr>
      <w:r>
        <w:rPr>
          <w:rFonts w:ascii="PingFang SC" w:hAnsi="PingFang SC" w:eastAsia="PingFang SC" w:cs="PingFang SC"/>
          <w:b/>
          <w:color w:val="2E74B5"/>
          <w:sz w:val="32"/>
        </w:rPr>
        <w:t>9 安全设计</w:t>
      </w:r>
    </w:p>
    <w:p>
      <w:pPr>
        <w:pStyle w:val="Heading2"/>
      </w:pPr>
      <w:r>
        <w:rPr>
          <w:rFonts w:ascii="PingFang SC" w:hAnsi="PingFang SC" w:eastAsia="PingFang SC" w:cs="PingFang SC"/>
          <w:b/>
          <w:color w:val="2E74B5"/>
          <w:sz w:val="26"/>
        </w:rPr>
        <w:t>9.1 身份与口令安全</w:t>
      </w:r>
    </w:p>
    <w:p>
      <w:pPr>
        <w:spacing w:after="120" w:line="300" w:lineRule="auto"/>
        <w:ind w:firstLine="420"/>
        <w:jc w:val="both"/>
      </w:pPr>
      <w:r>
        <w:rPr>
          <w:rFonts w:ascii="宋体" w:hAnsi="宋体" w:eastAsia="宋体" w:cs="宋体"/>
          <w:color w:val="172B3A"/>
          <w:sz w:val="22"/>
        </w:rPr>
        <w:t>用户密码使用bcrypt哈希保存，系统不需要恢复原始密码。网页认证使用JWT，服务集成使用独立API Token。初始管理员密码随机生成，首次登录后应立即变更。安全密钥不得硬编码到源代码，通过环境变量或受控的.env文件注入。</w:t>
      </w:r>
    </w:p>
    <w:p>
      <w:pPr>
        <w:pStyle w:val="Heading2"/>
      </w:pPr>
      <w:r>
        <w:rPr>
          <w:rFonts w:ascii="PingFang SC" w:hAnsi="PingFang SC" w:eastAsia="PingFang SC" w:cs="PingFang SC"/>
          <w:b/>
          <w:color w:val="2E74B5"/>
          <w:sz w:val="26"/>
        </w:rPr>
        <w:t>9.2 连接凭据保护</w:t>
      </w:r>
    </w:p>
    <w:p>
      <w:pPr>
        <w:spacing w:after="120" w:line="300" w:lineRule="auto"/>
        <w:ind w:firstLine="420"/>
        <w:jc w:val="both"/>
      </w:pPr>
      <w:r>
        <w:rPr>
          <w:rFonts w:ascii="宋体" w:hAnsi="宋体" w:eastAsia="宋体" w:cs="宋体"/>
          <w:color w:val="172B3A"/>
          <w:sz w:val="22"/>
        </w:rPr>
        <w:t>Supervisor连接信息中的密码在数据库中加密保存，调用XML-RPC前在服务端解密。生产环境应确保ENCRYPTION_KEY具备足够随机性并纳入密钥管理；更换该密钥前必须制定已存凭据迁移方案，否则旧密文可能无法解密。</w:t>
      </w:r>
    </w:p>
    <w:p>
      <w:pPr>
        <w:pStyle w:val="Heading2"/>
      </w:pPr>
      <w:r>
        <w:rPr>
          <w:rFonts w:ascii="PingFang SC" w:hAnsi="PingFang SC" w:eastAsia="PingFang SC" w:cs="PingFang SC"/>
          <w:b/>
          <w:color w:val="2E74B5"/>
          <w:sz w:val="26"/>
        </w:rPr>
        <w:t>9.3 权限判定</w:t>
      </w:r>
    </w:p>
    <w:p>
      <w:pPr>
        <w:spacing w:after="120" w:line="300" w:lineRule="auto"/>
        <w:ind w:firstLine="420"/>
        <w:jc w:val="both"/>
      </w:pPr>
      <w:r>
        <w:rPr>
          <w:rFonts w:ascii="宋体" w:hAnsi="宋体" w:eastAsia="宋体" w:cs="宋体"/>
          <w:color w:val="172B3A"/>
          <w:sz w:val="22"/>
        </w:rPr>
        <w:t>每个受保护请求先完成身份验证，再根据功能检查角色、API scope和资源权限。普通用户的程序级权限优先，机器级权限兜底；普通管理员的用户管理范围受createdBy关系限制；全局机器和分组配置仅允许超级管理员操作。前端隐藏无权功能仅用于改善体验，最终权限以服务端中间件判定为准。</w:t>
      </w:r>
    </w:p>
    <w:p>
      <w:pPr>
        <w:pStyle w:val="Heading2"/>
      </w:pPr>
      <w:r>
        <w:rPr>
          <w:rFonts w:ascii="PingFang SC" w:hAnsi="PingFang SC" w:eastAsia="PingFang SC" w:cs="PingFang SC"/>
          <w:b/>
          <w:color w:val="2E74B5"/>
          <w:sz w:val="26"/>
        </w:rPr>
        <w:t>9.4 Web安全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宋体" w:hAnsi="宋体" w:eastAsia="宋体" w:cs="宋体"/>
          <w:color w:val="172B3A"/>
          <w:sz w:val="22"/>
        </w:rPr>
        <w:t>使用Helmet设置常见HTTP安全头，内容安全策略按前端部署需要单独控制。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宋体" w:hAnsi="宋体" w:eastAsia="宋体" w:cs="宋体"/>
          <w:color w:val="172B3A"/>
          <w:sz w:val="22"/>
        </w:rPr>
        <w:t>Session Cookie启用httpOnly和sameSite=lax，生产模式启用secure。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宋体" w:hAnsi="宋体" w:eastAsia="宋体" w:cs="宋体"/>
          <w:color w:val="172B3A"/>
          <w:sz w:val="22"/>
        </w:rPr>
        <w:t>登录接口设置速率限制，降低暴力尝试风险。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宋体" w:hAnsi="宋体" w:eastAsia="宋体" w:cs="宋体"/>
          <w:color w:val="172B3A"/>
          <w:sz w:val="22"/>
        </w:rPr>
        <w:t>CORS仅允许配置来源或同源请求，并允许受控凭据。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宋体" w:hAnsi="宋体" w:eastAsia="宋体" w:cs="宋体"/>
          <w:color w:val="172B3A"/>
          <w:sz w:val="22"/>
        </w:rPr>
        <w:t>请求体大小限制为10MB，降低异常超大请求影响。</w:t>
      </w:r>
    </w:p>
    <w:p>
      <w:pPr>
        <w:pStyle w:val="Heading2"/>
      </w:pPr>
      <w:r>
        <w:rPr>
          <w:rFonts w:ascii="PingFang SC" w:hAnsi="PingFang SC" w:eastAsia="PingFang SC" w:cs="PingFang SC"/>
          <w:b/>
          <w:color w:val="2E74B5"/>
          <w:sz w:val="26"/>
        </w:rPr>
        <w:t>9.5 安全运维建议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宋体" w:hAnsi="宋体" w:eastAsia="宋体" w:cs="宋体"/>
          <w:color w:val="172B3A"/>
          <w:sz w:val="22"/>
        </w:rPr>
        <w:t>在反向代理层启用HTTPS、访问控制、请求限速和安全日志。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宋体" w:hAnsi="宋体" w:eastAsia="宋体" w:cs="宋体"/>
          <w:color w:val="172B3A"/>
          <w:sz w:val="22"/>
        </w:rPr>
        <w:t>限制Supervisor 9001端口只接受SuperD应用服务器访问。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宋体" w:hAnsi="宋体" w:eastAsia="宋体" w:cs="宋体"/>
          <w:color w:val="172B3A"/>
          <w:sz w:val="22"/>
        </w:rPr>
        <w:t>定期轮换JWT、Session、加密密钥和服务API令牌。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宋体" w:hAnsi="宋体" w:eastAsia="宋体" w:cs="宋体"/>
          <w:color w:val="172B3A"/>
          <w:sz w:val="22"/>
        </w:rPr>
        <w:t>按照最小权限原则配置机器/程序授权和令牌scope。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宋体" w:hAnsi="宋体" w:eastAsia="宋体" w:cs="宋体"/>
          <w:color w:val="172B3A"/>
          <w:sz w:val="22"/>
        </w:rPr>
        <w:t>定期备份数据库并验证恢复，备份文件同样包含敏感配置，应加密保管。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宋体" w:hAnsi="宋体" w:eastAsia="宋体" w:cs="宋体"/>
          <w:color w:val="172B3A"/>
          <w:sz w:val="22"/>
        </w:rPr>
        <w:t>上线前运行依赖漏洞扫描、接口权限测试和配置审计。</w:t>
      </w:r>
    </w:p>
    <w:p>
      <w:pPr>
        <w:pStyle w:val="Heading1"/>
      </w:pPr>
      <w:r>
        <w:rPr>
          <w:rFonts w:ascii="PingFang SC" w:hAnsi="PingFang SC" w:eastAsia="PingFang SC" w:cs="PingFang SC"/>
          <w:b/>
          <w:color w:val="2E74B5"/>
          <w:sz w:val="32"/>
        </w:rPr>
        <w:t>10 异常处理与日志</w:t>
      </w:r>
    </w:p>
    <w:p>
      <w:pPr>
        <w:pStyle w:val="Heading2"/>
      </w:pPr>
      <w:r>
        <w:rPr>
          <w:rFonts w:ascii="PingFang SC" w:hAnsi="PingFang SC" w:eastAsia="PingFang SC" w:cs="PingFang SC"/>
          <w:b/>
          <w:color w:val="2E74B5"/>
          <w:sz w:val="26"/>
        </w:rPr>
        <w:t>10.1 统一错误处理</w:t>
      </w:r>
    </w:p>
    <w:p>
      <w:pPr>
        <w:spacing w:after="120" w:line="300" w:lineRule="auto"/>
        <w:ind w:firstLine="420"/>
        <w:jc w:val="both"/>
      </w:pPr>
      <w:r>
        <w:rPr>
          <w:rFonts w:ascii="宋体" w:hAnsi="宋体" w:eastAsia="宋体" w:cs="宋体"/>
          <w:color w:val="172B3A"/>
          <w:sz w:val="22"/>
        </w:rPr>
        <w:t>后端通过ApiError和统一错误处理中间件生成一致的HTTP错误响应。未匹配的API路由返回404；认证失败通常返回401并触发前端跳转登录；权限不足返回403；参数或业务状态错误返回4xx；未预期异常记录详细错误后返回受控的5xx响应。前端API封装避免重复弹出已统一处理的错误。</w:t>
      </w:r>
    </w:p>
    <w:p>
      <w:pPr>
        <w:pStyle w:val="Heading2"/>
      </w:pPr>
      <w:r>
        <w:rPr>
          <w:rFonts w:ascii="PingFang SC" w:hAnsi="PingFang SC" w:eastAsia="PingFang SC" w:cs="PingFang SC"/>
          <w:b/>
          <w:color w:val="2E74B5"/>
          <w:sz w:val="26"/>
        </w:rPr>
        <w:t>10.2 常见异常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500"/>
        <w:gridCol w:w="37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PingFang SC" w:hAnsi="PingFang SC" w:eastAsia="PingFang SC" w:cs="PingFang SC"/>
                <w:b/>
                <w:color w:val="1F4D78"/>
                <w:sz w:val="17"/>
              </w:rPr>
              <w:t>现象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PingFang SC" w:hAnsi="PingFang SC" w:eastAsia="PingFang SC" w:cs="PingFang SC"/>
                <w:b/>
                <w:color w:val="1F4D78"/>
                <w:sz w:val="17"/>
              </w:rPr>
              <w:t>可能原因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PingFang SC" w:hAnsi="PingFang SC" w:eastAsia="PingFang SC" w:cs="PingFang SC"/>
                <w:b/>
                <w:color w:val="1F4D78"/>
                <w:sz w:val="17"/>
              </w:rPr>
              <w:t>处理建议</w:t>
            </w:r>
          </w:p>
        </w:tc>
      </w:tr>
      <w:tr>
        <w:tc>
          <w:tcPr>
            <w:tcW w:type="dxa" w:w="210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color w:val="172B3A"/>
                <w:sz w:val="17"/>
              </w:rPr>
              <w:t>无法登录</w:t>
            </w:r>
          </w:p>
        </w:tc>
        <w:tc>
          <w:tcPr>
            <w:tcW w:type="dxa" w:w="3500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7"/>
              </w:rPr>
              <w:t>密码错误、速率限制、JWT密钥配置异常</w:t>
            </w:r>
          </w:p>
        </w:tc>
        <w:tc>
          <w:tcPr>
            <w:tcW w:type="dxa" w:w="3760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7"/>
              </w:rPr>
              <w:t>核对账号；等待限流窗口；检查服务日志和密钥配置</w:t>
            </w:r>
          </w:p>
        </w:tc>
      </w:tr>
      <w:tr>
        <w:tc>
          <w:tcPr>
            <w:tcW w:type="dxa" w:w="2100"/>
            <w:shd w:fill="FAFBFC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color w:val="172B3A"/>
                <w:sz w:val="17"/>
              </w:rPr>
              <w:t>机器显示离线</w:t>
            </w:r>
          </w:p>
        </w:tc>
        <w:tc>
          <w:tcPr>
            <w:tcW w:type="dxa" w:w="3500"/>
            <w:shd w:fill="FAFBFC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7"/>
              </w:rPr>
              <w:t>网络不通、端口未开放、Supervisor未启动、凭据错误</w:t>
            </w:r>
          </w:p>
        </w:tc>
        <w:tc>
          <w:tcPr>
            <w:tcW w:type="dxa" w:w="3760"/>
            <w:shd w:fill="FAFBFC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7"/>
              </w:rPr>
              <w:t>从应用服务器测试网络和XML-RPC配置</w:t>
            </w:r>
          </w:p>
        </w:tc>
      </w:tr>
      <w:tr>
        <w:tc>
          <w:tcPr>
            <w:tcW w:type="dxa" w:w="210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color w:val="172B3A"/>
                <w:sz w:val="17"/>
              </w:rPr>
              <w:t>进程操作返回403</w:t>
            </w:r>
          </w:p>
        </w:tc>
        <w:tc>
          <w:tcPr>
            <w:tcW w:type="dxa" w:w="3500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7"/>
              </w:rPr>
              <w:t>用户无机器/程序权限或令牌scope不足</w:t>
            </w:r>
          </w:p>
        </w:tc>
        <w:tc>
          <w:tcPr>
            <w:tcW w:type="dxa" w:w="3760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7"/>
              </w:rPr>
              <w:t>检查绑定用户权限和令牌scope交集</w:t>
            </w:r>
          </w:p>
        </w:tc>
      </w:tr>
      <w:tr>
        <w:tc>
          <w:tcPr>
            <w:tcW w:type="dxa" w:w="2100"/>
            <w:shd w:fill="FAFBFC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color w:val="172B3A"/>
                <w:sz w:val="17"/>
              </w:rPr>
              <w:t>日志无内容</w:t>
            </w:r>
          </w:p>
        </w:tc>
        <w:tc>
          <w:tcPr>
            <w:tcW w:type="dxa" w:w="3500"/>
            <w:shd w:fill="FAFBFC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7"/>
              </w:rPr>
              <w:t>日志文件不存在、程序未输出、连接未建立或已降频</w:t>
            </w:r>
          </w:p>
        </w:tc>
        <w:tc>
          <w:tcPr>
            <w:tcW w:type="dxa" w:w="3760"/>
            <w:shd w:fill="FAFBFC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7"/>
              </w:rPr>
              <w:t>核对Supervisor日志配置和Socket.io连接</w:t>
            </w:r>
          </w:p>
        </w:tc>
      </w:tr>
      <w:tr>
        <w:tc>
          <w:tcPr>
            <w:tcW w:type="dxa" w:w="210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color w:val="172B3A"/>
                <w:sz w:val="17"/>
              </w:rPr>
              <w:t>状态短暂未变化</w:t>
            </w:r>
          </w:p>
        </w:tc>
        <w:tc>
          <w:tcPr>
            <w:tcW w:type="dxa" w:w="3500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7"/>
              </w:rPr>
              <w:t>Supervisor执行需要时间或缓存尚未刷新</w:t>
            </w:r>
          </w:p>
        </w:tc>
        <w:tc>
          <w:tcPr>
            <w:tcW w:type="dxa" w:w="3760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7"/>
              </w:rPr>
              <w:t>等待下一次刷新；检查目标程序实际状态</w:t>
            </w:r>
          </w:p>
        </w:tc>
      </w:tr>
      <w:tr>
        <w:tc>
          <w:tcPr>
            <w:tcW w:type="dxa" w:w="2100"/>
            <w:shd w:fill="FAFBFC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color w:val="172B3A"/>
                <w:sz w:val="17"/>
              </w:rPr>
              <w:t>数据库启动失败</w:t>
            </w:r>
          </w:p>
        </w:tc>
        <w:tc>
          <w:tcPr>
            <w:tcW w:type="dxa" w:w="3500"/>
            <w:shd w:fill="FAFBFC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7"/>
              </w:rPr>
              <w:t>文件权限、MySQL连接、密码或表结构问题</w:t>
            </w:r>
          </w:p>
        </w:tc>
        <w:tc>
          <w:tcPr>
            <w:tcW w:type="dxa" w:w="3760"/>
            <w:shd w:fill="FAFBFC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7"/>
              </w:rPr>
              <w:t>检查存储变量、目录权限和数据库服务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PingFang SC" w:hAnsi="PingFang SC" w:eastAsia="PingFang SC" w:cs="PingFang SC"/>
          <w:b/>
          <w:color w:val="2E74B5"/>
          <w:sz w:val="26"/>
        </w:rPr>
        <w:t>10.3 日志分类</w:t>
      </w:r>
    </w:p>
    <w:p>
      <w:pPr>
        <w:spacing w:after="120" w:line="300" w:lineRule="auto"/>
        <w:ind w:firstLine="420"/>
        <w:jc w:val="both"/>
      </w:pPr>
      <w:r>
        <w:rPr>
          <w:rFonts w:ascii="宋体" w:hAnsi="宋体" w:eastAsia="宋体" w:cs="宋体"/>
          <w:color w:val="172B3A"/>
          <w:sz w:val="22"/>
        </w:rPr>
        <w:t>应用Logger记录请求、响应、调试、信息、警告、错误和致命事件，并写入访问日志和错误日志。服务API调用另有结构化审计记录。生产环境应设置日志轮转、保留期限、访问权限和脱敏规则，避免JWT、API Token、密码等敏感信息进入日志。PM2配置可用于进程守护和日志文件管理。</w:t>
      </w:r>
    </w:p>
    <w:p>
      <w:pPr>
        <w:pStyle w:val="Heading1"/>
      </w:pPr>
      <w:r>
        <w:rPr>
          <w:rFonts w:ascii="PingFang SC" w:hAnsi="PingFang SC" w:eastAsia="PingFang SC" w:cs="PingFang SC"/>
          <w:b/>
          <w:color w:val="2E74B5"/>
          <w:sz w:val="32"/>
        </w:rPr>
        <w:t>11 安装部署与维护</w:t>
      </w:r>
    </w:p>
    <w:p>
      <w:pPr>
        <w:pStyle w:val="Heading2"/>
      </w:pPr>
      <w:r>
        <w:rPr>
          <w:rFonts w:ascii="PingFang SC" w:hAnsi="PingFang SC" w:eastAsia="PingFang SC" w:cs="PingFang SC"/>
          <w:b/>
          <w:color w:val="2E74B5"/>
          <w:sz w:val="26"/>
        </w:rPr>
        <w:t>11.1 安装准备</w:t>
      </w:r>
    </w:p>
    <w:p>
      <w:pPr>
        <w:numPr>
          <w:ilvl w:val="0"/>
          <w:numId w:val="47"/>
        </w:numPr>
        <w:spacing w:after="80" w:line="300" w:lineRule="auto"/>
      </w:pPr>
      <w:r>
        <w:rPr>
          <w:rFonts w:ascii="宋体" w:hAnsi="宋体" w:eastAsia="宋体" w:cs="宋体"/>
          <w:color w:val="172B3A"/>
          <w:sz w:val="22"/>
        </w:rPr>
        <w:t>准备Node.js运行环境、npm依赖安装能力和PM2。</w:t>
      </w:r>
    </w:p>
    <w:p>
      <w:pPr>
        <w:numPr>
          <w:ilvl w:val="0"/>
          <w:numId w:val="47"/>
        </w:numPr>
        <w:spacing w:after="80" w:line="300" w:lineRule="auto"/>
      </w:pPr>
      <w:r>
        <w:rPr>
          <w:rFonts w:ascii="宋体" w:hAnsi="宋体" w:eastAsia="宋体" w:cs="宋体"/>
          <w:color w:val="172B3A"/>
          <w:sz w:val="22"/>
        </w:rPr>
        <w:t>准备SQLite可写目录，或预先创建MySQL数据库和专用账户。</w:t>
      </w:r>
    </w:p>
    <w:p>
      <w:pPr>
        <w:numPr>
          <w:ilvl w:val="0"/>
          <w:numId w:val="47"/>
        </w:numPr>
        <w:spacing w:after="80" w:line="300" w:lineRule="auto"/>
      </w:pPr>
      <w:r>
        <w:rPr>
          <w:rFonts w:ascii="宋体" w:hAnsi="宋体" w:eastAsia="宋体" w:cs="宋体"/>
          <w:color w:val="172B3A"/>
          <w:sz w:val="22"/>
        </w:rPr>
        <w:t>在所有目标服务器安装并配置Supervisor inet_http_server。</w:t>
      </w:r>
    </w:p>
    <w:p>
      <w:pPr>
        <w:numPr>
          <w:ilvl w:val="0"/>
          <w:numId w:val="47"/>
        </w:numPr>
        <w:spacing w:after="80" w:line="300" w:lineRule="auto"/>
      </w:pPr>
      <w:r>
        <w:rPr>
          <w:rFonts w:ascii="宋体" w:hAnsi="宋体" w:eastAsia="宋体" w:cs="宋体"/>
          <w:color w:val="172B3A"/>
          <w:sz w:val="22"/>
        </w:rPr>
        <w:t>规划SuperD应用服务器到Supervisor端口的网络访问策略。</w:t>
      </w:r>
    </w:p>
    <w:p>
      <w:pPr>
        <w:numPr>
          <w:ilvl w:val="0"/>
          <w:numId w:val="47"/>
        </w:numPr>
        <w:spacing w:after="80" w:line="300" w:lineRule="auto"/>
      </w:pPr>
      <w:r>
        <w:rPr>
          <w:rFonts w:ascii="宋体" w:hAnsi="宋体" w:eastAsia="宋体" w:cs="宋体"/>
          <w:color w:val="172B3A"/>
          <w:sz w:val="22"/>
        </w:rPr>
        <w:t>生成SESSION_SECRET、JWT_SECRET和ENCRYPTION_KEY并存入受控配置。</w:t>
      </w:r>
    </w:p>
    <w:p>
      <w:pPr>
        <w:pStyle w:val="Heading2"/>
      </w:pPr>
      <w:r>
        <w:rPr>
          <w:rFonts w:ascii="PingFang SC" w:hAnsi="PingFang SC" w:eastAsia="PingFang SC" w:cs="PingFang SC"/>
          <w:b/>
          <w:color w:val="2E74B5"/>
          <w:sz w:val="26"/>
        </w:rPr>
        <w:t>11.2 开发模式启动</w:t>
      </w:r>
    </w:p>
    <w:p>
      <w:pPr>
        <w:spacing w:after="120" w:line="300" w:lineRule="auto"/>
        <w:ind w:firstLine="420"/>
        <w:jc w:val="both"/>
      </w:pPr>
      <w:r>
        <w:rPr>
          <w:rFonts w:ascii="宋体" w:hAnsi="宋体" w:eastAsia="宋体" w:cs="宋体"/>
          <w:color w:val="172B3A"/>
          <w:sz w:val="22"/>
        </w:rPr>
        <w:t>开发模式下，后端进入backend目录安装依赖并运行npm run dev，默认监听3000端口；前端进入client目录安装依赖并运行npm run dev，默认监听5173端口。开发模式使用分端口结构，CORS配置允许指定的本地前端来源。首次启动会初始化数据库并创建管理员。</w:t>
      </w:r>
    </w:p>
    <w:p>
      <w:pPr>
        <w:pStyle w:val="Heading2"/>
      </w:pPr>
      <w:r>
        <w:rPr>
          <w:rFonts w:ascii="PingFang SC" w:hAnsi="PingFang SC" w:eastAsia="PingFang SC" w:cs="PingFang SC"/>
          <w:b/>
          <w:color w:val="2E74B5"/>
          <w:sz w:val="26"/>
        </w:rPr>
        <w:t>11.3 生产模式部署</w:t>
      </w:r>
    </w:p>
    <w:p>
      <w:pPr>
        <w:numPr>
          <w:ilvl w:val="0"/>
          <w:numId w:val="48"/>
        </w:numPr>
        <w:spacing w:after="80" w:line="300" w:lineRule="auto"/>
      </w:pPr>
      <w:r>
        <w:rPr>
          <w:rFonts w:ascii="宋体" w:hAnsi="宋体" w:eastAsia="宋体" w:cs="宋体"/>
          <w:color w:val="172B3A"/>
          <w:sz w:val="22"/>
        </w:rPr>
        <w:t>在client目录执行npm run build，生成前端dist静态文件。</w:t>
      </w:r>
    </w:p>
    <w:p>
      <w:pPr>
        <w:numPr>
          <w:ilvl w:val="0"/>
          <w:numId w:val="48"/>
        </w:numPr>
        <w:spacing w:after="80" w:line="300" w:lineRule="auto"/>
      </w:pPr>
      <w:r>
        <w:rPr>
          <w:rFonts w:ascii="宋体" w:hAnsi="宋体" w:eastAsia="宋体" w:cs="宋体"/>
          <w:color w:val="172B3A"/>
          <w:sz w:val="22"/>
        </w:rPr>
        <w:t>在backend目录安装生产依赖并配置环境变量。</w:t>
      </w:r>
    </w:p>
    <w:p>
      <w:pPr>
        <w:numPr>
          <w:ilvl w:val="0"/>
          <w:numId w:val="48"/>
        </w:numPr>
        <w:spacing w:after="80" w:line="300" w:lineRule="auto"/>
      </w:pPr>
      <w:r>
        <w:rPr>
          <w:rFonts w:ascii="宋体" w:hAnsi="宋体" w:eastAsia="宋体" w:cs="宋体"/>
          <w:color w:val="172B3A"/>
          <w:sz w:val="22"/>
        </w:rPr>
        <w:t>根据需要选择SQLite或MySQL，并验证应用账户具有必要权限。</w:t>
      </w:r>
    </w:p>
    <w:p>
      <w:pPr>
        <w:numPr>
          <w:ilvl w:val="0"/>
          <w:numId w:val="48"/>
        </w:numPr>
        <w:spacing w:after="80" w:line="300" w:lineRule="auto"/>
      </w:pPr>
      <w:r>
        <w:rPr>
          <w:rFonts w:ascii="宋体" w:hAnsi="宋体" w:eastAsia="宋体" w:cs="宋体"/>
          <w:color w:val="172B3A"/>
          <w:sz w:val="22"/>
        </w:rPr>
        <w:t>使用PM2启动ecosystem.config.js，示例配置在6002端口提供单入口服务。</w:t>
      </w:r>
    </w:p>
    <w:p>
      <w:pPr>
        <w:numPr>
          <w:ilvl w:val="0"/>
          <w:numId w:val="48"/>
        </w:numPr>
        <w:spacing w:after="80" w:line="300" w:lineRule="auto"/>
      </w:pPr>
      <w:r>
        <w:rPr>
          <w:rFonts w:ascii="宋体" w:hAnsi="宋体" w:eastAsia="宋体" w:cs="宋体"/>
          <w:color w:val="172B3A"/>
          <w:sz w:val="22"/>
        </w:rPr>
        <w:t>在反向代理上配置HTTPS，并限制后台和Supervisor端口的访问范围。</w:t>
      </w:r>
    </w:p>
    <w:p>
      <w:pPr>
        <w:numPr>
          <w:ilvl w:val="0"/>
          <w:numId w:val="48"/>
        </w:numPr>
        <w:spacing w:after="80" w:line="300" w:lineRule="auto"/>
      </w:pPr>
      <w:r>
        <w:rPr>
          <w:rFonts w:ascii="宋体" w:hAnsi="宋体" w:eastAsia="宋体" w:cs="宋体"/>
          <w:color w:val="172B3A"/>
          <w:sz w:val="22"/>
        </w:rPr>
        <w:t>使用管理员初始密码登录，立即修改密码并新增受控运维账户。</w:t>
      </w:r>
    </w:p>
    <w:p>
      <w:pPr>
        <w:pStyle w:val="Heading2"/>
      </w:pPr>
      <w:r>
        <w:rPr>
          <w:rFonts w:ascii="PingFang SC" w:hAnsi="PingFang SC" w:eastAsia="PingFang SC" w:cs="PingFang SC"/>
          <w:b/>
          <w:color w:val="2E74B5"/>
          <w:sz w:val="26"/>
        </w:rPr>
        <w:t>11.4 Supervisor端配置</w:t>
      </w:r>
    </w:p>
    <w:p>
      <w:pPr>
        <w:spacing w:after="120" w:line="300" w:lineRule="auto"/>
        <w:ind w:firstLine="420"/>
        <w:jc w:val="both"/>
      </w:pPr>
      <w:r>
        <w:rPr>
          <w:rFonts w:ascii="宋体" w:hAnsi="宋体" w:eastAsia="宋体" w:cs="宋体"/>
          <w:color w:val="172B3A"/>
          <w:sz w:val="22"/>
        </w:rPr>
        <w:t>每台被管理服务器需在Supervisor配置中启用inet_http_server，设置监听地址、端口、用户名和密码。出于安全考虑，不应将该端口直接暴露到公网；应通过主机防火墙、安全组或专用网络，仅允许SuperD应用服务器访问。配置变更后重载或重启Supervisor，并在SuperD中新增机器记录进行连接测试。</w:t>
      </w:r>
    </w:p>
    <w:p>
      <w:pPr>
        <w:pStyle w:val="Heading2"/>
      </w:pPr>
      <w:r>
        <w:rPr>
          <w:rFonts w:ascii="PingFang SC" w:hAnsi="PingFang SC" w:eastAsia="PingFang SC" w:cs="PingFang SC"/>
          <w:b/>
          <w:color w:val="2E74B5"/>
          <w:sz w:val="26"/>
        </w:rPr>
        <w:t>11.5 备份与恢复</w:t>
      </w:r>
    </w:p>
    <w:p>
      <w:pPr>
        <w:spacing w:after="120" w:line="300" w:lineRule="auto"/>
        <w:ind w:firstLine="420"/>
        <w:jc w:val="both"/>
      </w:pPr>
      <w:r>
        <w:rPr>
          <w:rFonts w:ascii="宋体" w:hAnsi="宋体" w:eastAsia="宋体" w:cs="宋体"/>
          <w:color w:val="172B3A"/>
          <w:sz w:val="22"/>
        </w:rPr>
        <w:t>SQLite模式应定期备份数据库文件，并在写入活动较低或使用数据库一致性备份机制时执行；MySQL模式应使用企业现有数据库备份策略。恢复演练要验证用户、权限、机器、分组和令牌元数据的完整性。加密密钥必须与数据库备份关联保管，否则恢复后的Supervisor密码可能无法解密。</w:t>
      </w:r>
    </w:p>
    <w:p>
      <w:pPr>
        <w:pStyle w:val="Heading2"/>
      </w:pPr>
      <w:r>
        <w:rPr>
          <w:rFonts w:ascii="PingFang SC" w:hAnsi="PingFang SC" w:eastAsia="PingFang SC" w:cs="PingFang SC"/>
          <w:b/>
          <w:color w:val="2E74B5"/>
          <w:sz w:val="26"/>
        </w:rPr>
        <w:t>11.6 升级维护</w:t>
      </w:r>
    </w:p>
    <w:p>
      <w:pPr>
        <w:spacing w:after="120" w:line="300" w:lineRule="auto"/>
        <w:ind w:firstLine="420"/>
        <w:jc w:val="both"/>
      </w:pPr>
      <w:r>
        <w:rPr>
          <w:rFonts w:ascii="宋体" w:hAnsi="宋体" w:eastAsia="宋体" w:cs="宋体"/>
          <w:color w:val="172B3A"/>
          <w:sz w:val="22"/>
        </w:rPr>
        <w:t>升级前应备份数据库与配置，阅读版本说明并在测试环境验证前端构建、数据库兼容、登录、权限、进程控制和日志功能。升级过程中保持软件名称和版本号管理一致；若用于软著新版本登记，应另行确认版本功能变化、完成日期和权利信息。升级后检查/api/version、关键接口、Socket.io连接和PM2运行状态。</w:t>
      </w:r>
    </w:p>
    <w:p>
      <w:pPr>
        <w:pStyle w:val="Heading1"/>
      </w:pPr>
      <w:r>
        <w:rPr>
          <w:rFonts w:ascii="PingFang SC" w:hAnsi="PingFang SC" w:eastAsia="PingFang SC" w:cs="PingFang SC"/>
          <w:b/>
          <w:color w:val="2E74B5"/>
          <w:sz w:val="32"/>
        </w:rPr>
        <w:t>12 测试与验收建议</w:t>
      </w:r>
    </w:p>
    <w:p>
      <w:pPr>
        <w:pStyle w:val="Heading2"/>
      </w:pPr>
      <w:r>
        <w:rPr>
          <w:rFonts w:ascii="PingFang SC" w:hAnsi="PingFang SC" w:eastAsia="PingFang SC" w:cs="PingFang SC"/>
          <w:b/>
          <w:color w:val="2E74B5"/>
          <w:sz w:val="26"/>
        </w:rPr>
        <w:t>12.1 功能测试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900"/>
        <w:gridCol w:w="37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PingFang SC" w:hAnsi="PingFang SC" w:eastAsia="PingFang SC" w:cs="PingFang SC"/>
                <w:b/>
                <w:color w:val="1F4D78"/>
                <w:sz w:val="17"/>
              </w:rPr>
              <w:t>测试域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PingFang SC" w:hAnsi="PingFang SC" w:eastAsia="PingFang SC" w:cs="PingFang SC"/>
                <w:b/>
                <w:color w:val="1F4D78"/>
                <w:sz w:val="17"/>
              </w:rPr>
              <w:t>关键检查点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PingFang SC" w:hAnsi="PingFang SC" w:eastAsia="PingFang SC" w:cs="PingFang SC"/>
                <w:b/>
                <w:color w:val="1F4D78"/>
                <w:sz w:val="17"/>
              </w:rPr>
              <w:t>期望结果</w:t>
            </w:r>
          </w:p>
        </w:tc>
      </w:tr>
      <w:tr>
        <w:tc>
          <w:tcPr>
            <w:tcW w:type="dxa" w:w="170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color w:val="172B3A"/>
                <w:sz w:val="17"/>
              </w:rPr>
              <w:t>登录认证</w:t>
            </w:r>
          </w:p>
        </w:tc>
        <w:tc>
          <w:tcPr>
            <w:tcW w:type="dxa" w:w="3900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7"/>
              </w:rPr>
              <w:t>正确/错误密码、限流、退出、过期登录态</w:t>
            </w:r>
          </w:p>
        </w:tc>
        <w:tc>
          <w:tcPr>
            <w:tcW w:type="dxa" w:w="3760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7"/>
              </w:rPr>
              <w:t>身份结果正确，未登录无法访问受保护页面</w:t>
            </w:r>
          </w:p>
        </w:tc>
      </w:tr>
      <w:tr>
        <w:tc>
          <w:tcPr>
            <w:tcW w:type="dxa" w:w="1700"/>
            <w:shd w:fill="FAFBFC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color w:val="172B3A"/>
                <w:sz w:val="17"/>
              </w:rPr>
              <w:t>机器与分组</w:t>
            </w:r>
          </w:p>
        </w:tc>
        <w:tc>
          <w:tcPr>
            <w:tcW w:type="dxa" w:w="3900"/>
            <w:shd w:fill="FAFBFC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7"/>
              </w:rPr>
              <w:t>增删改、分组移动、连接状态、自然排序</w:t>
            </w:r>
          </w:p>
        </w:tc>
        <w:tc>
          <w:tcPr>
            <w:tcW w:type="dxa" w:w="3760"/>
            <w:shd w:fill="FAFBFC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7"/>
              </w:rPr>
              <w:t>数据持久化且资源树展示一致</w:t>
            </w:r>
          </w:p>
        </w:tc>
      </w:tr>
      <w:tr>
        <w:tc>
          <w:tcPr>
            <w:tcW w:type="dxa" w:w="170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color w:val="172B3A"/>
                <w:sz w:val="17"/>
              </w:rPr>
              <w:t>进程查询</w:t>
            </w:r>
          </w:p>
        </w:tc>
        <w:tc>
          <w:tcPr>
            <w:tcW w:type="dxa" w:w="3900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7"/>
              </w:rPr>
              <w:t>单机/全局列表、搜索、10秒刷新、状态统计</w:t>
            </w:r>
          </w:p>
        </w:tc>
        <w:tc>
          <w:tcPr>
            <w:tcW w:type="dxa" w:w="3760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7"/>
              </w:rPr>
              <w:t>列表无重复，状态和统计一致</w:t>
            </w:r>
          </w:p>
        </w:tc>
      </w:tr>
      <w:tr>
        <w:tc>
          <w:tcPr>
            <w:tcW w:type="dxa" w:w="1700"/>
            <w:shd w:fill="FAFBFC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color w:val="172B3A"/>
                <w:sz w:val="17"/>
              </w:rPr>
              <w:t>进程控制</w:t>
            </w:r>
          </w:p>
        </w:tc>
        <w:tc>
          <w:tcPr>
            <w:tcW w:type="dxa" w:w="3900"/>
            <w:shd w:fill="FAFBFC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7"/>
              </w:rPr>
              <w:t>启动、停止、重启、批量操作、重载</w:t>
            </w:r>
          </w:p>
        </w:tc>
        <w:tc>
          <w:tcPr>
            <w:tcW w:type="dxa" w:w="3760"/>
            <w:shd w:fill="FAFBFC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7"/>
              </w:rPr>
              <w:t>权限正确，操作结果和状态更新一致</w:t>
            </w:r>
          </w:p>
        </w:tc>
      </w:tr>
      <w:tr>
        <w:tc>
          <w:tcPr>
            <w:tcW w:type="dxa" w:w="170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color w:val="172B3A"/>
                <w:sz w:val="17"/>
              </w:rPr>
              <w:t>实时日志</w:t>
            </w:r>
          </w:p>
        </w:tc>
        <w:tc>
          <w:tcPr>
            <w:tcW w:type="dxa" w:w="3900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7"/>
              </w:rPr>
              <w:t>stdout/stderr、暂停、复制、无日志降频</w:t>
            </w:r>
          </w:p>
        </w:tc>
        <w:tc>
          <w:tcPr>
            <w:tcW w:type="dxa" w:w="3760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7"/>
              </w:rPr>
              <w:t>增量输出连续且资源消耗受控</w:t>
            </w:r>
          </w:p>
        </w:tc>
      </w:tr>
      <w:tr>
        <w:tc>
          <w:tcPr>
            <w:tcW w:type="dxa" w:w="1700"/>
            <w:shd w:fill="FAFBFC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color w:val="172B3A"/>
                <w:sz w:val="17"/>
              </w:rPr>
              <w:t>用户权限</w:t>
            </w:r>
          </w:p>
        </w:tc>
        <w:tc>
          <w:tcPr>
            <w:tcW w:type="dxa" w:w="3900"/>
            <w:shd w:fill="FAFBFC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7"/>
              </w:rPr>
              <w:t>三级角色、上级关系、机器/程序权限</w:t>
            </w:r>
          </w:p>
        </w:tc>
        <w:tc>
          <w:tcPr>
            <w:tcW w:type="dxa" w:w="3760"/>
            <w:shd w:fill="FAFBFC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7"/>
              </w:rPr>
              <w:t>越权请求返回403，授权资源可正常操作</w:t>
            </w:r>
          </w:p>
        </w:tc>
      </w:tr>
      <w:tr>
        <w:tc>
          <w:tcPr>
            <w:tcW w:type="dxa" w:w="170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color w:val="172B3A"/>
                <w:sz w:val="17"/>
              </w:rPr>
              <w:t>服务令牌</w:t>
            </w:r>
          </w:p>
        </w:tc>
        <w:tc>
          <w:tcPr>
            <w:tcW w:type="dxa" w:w="3900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7"/>
              </w:rPr>
              <w:t>创建、scope、过期、撤销、审计</w:t>
            </w:r>
          </w:p>
        </w:tc>
        <w:tc>
          <w:tcPr>
            <w:tcW w:type="dxa" w:w="3760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7"/>
              </w:rPr>
              <w:t>明文只出现一次，摘要存储，审计完整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PingFang SC" w:hAnsi="PingFang SC" w:eastAsia="PingFang SC" w:cs="PingFang SC"/>
          <w:b/>
          <w:color w:val="2E74B5"/>
          <w:sz w:val="26"/>
        </w:rPr>
        <w:t>12.2 安全测试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宋体" w:hAnsi="宋体" w:eastAsia="宋体" w:cs="宋体"/>
          <w:color w:val="172B3A"/>
          <w:sz w:val="22"/>
        </w:rPr>
        <w:t>验证未携带、伪造或过期JWT/API Token时的拒绝行为。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宋体" w:hAnsi="宋体" w:eastAsia="宋体" w:cs="宋体"/>
          <w:color w:val="172B3A"/>
          <w:sz w:val="22"/>
        </w:rPr>
        <w:t>验证普通用户不能调用用户管理、全局分组和机器管理接口。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宋体" w:hAnsi="宋体" w:eastAsia="宋体" w:cs="宋体"/>
          <w:color w:val="172B3A"/>
          <w:sz w:val="22"/>
        </w:rPr>
        <w:t>验证令牌scope不足、绑定用户资源权限不足时均返回拒绝。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宋体" w:hAnsi="宋体" w:eastAsia="宋体" w:cs="宋体"/>
          <w:color w:val="172B3A"/>
          <w:sz w:val="22"/>
        </w:rPr>
        <w:t>检查日志和错误响应中是否泄露密码、JWT、令牌明文或数据库摘要。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宋体" w:hAnsi="宋体" w:eastAsia="宋体" w:cs="宋体"/>
          <w:color w:val="172B3A"/>
          <w:sz w:val="22"/>
        </w:rPr>
        <w:t>检查CORS、Cookie、HTTPS反向代理和Supervisor端口访问策略。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宋体" w:hAnsi="宋体" w:eastAsia="宋体" w:cs="宋体"/>
          <w:color w:val="172B3A"/>
          <w:sz w:val="22"/>
        </w:rPr>
        <w:t>执行依赖漏洞、输入校验、速率限制和常见Web安全测试。</w:t>
      </w:r>
    </w:p>
    <w:p>
      <w:pPr>
        <w:pStyle w:val="Heading2"/>
      </w:pPr>
      <w:r>
        <w:rPr>
          <w:rFonts w:ascii="PingFang SC" w:hAnsi="PingFang SC" w:eastAsia="PingFang SC" w:cs="PingFang SC"/>
          <w:b/>
          <w:color w:val="2E74B5"/>
          <w:sz w:val="26"/>
        </w:rPr>
        <w:t>12.3 兼容性与性能测试</w:t>
      </w:r>
    </w:p>
    <w:p>
      <w:pPr>
        <w:spacing w:after="120" w:line="300" w:lineRule="auto"/>
        <w:ind w:firstLine="420"/>
        <w:jc w:val="both"/>
      </w:pPr>
      <w:r>
        <w:rPr>
          <w:rFonts w:ascii="宋体" w:hAnsi="宋体" w:eastAsia="宋体" w:cs="宋体"/>
          <w:color w:val="172B3A"/>
          <w:sz w:val="22"/>
        </w:rPr>
        <w:t>应在企业计划支持的浏览器、Node.js版本和数据库模式上执行兼容性测试。性能测试应覆盖多机器并发状态查询、10秒自动刷新、批量控制、长时间日志连接和审计写入。重点观察XML-RPC响应、5秒缓存命中率、Socket.io连接数、内存使用和数据库延迟，并设置符合企业规模的容量指标。</w:t>
      </w:r>
    </w:p>
    <w:p>
      <w:pPr>
        <w:pStyle w:val="Heading2"/>
      </w:pPr>
      <w:r>
        <w:rPr>
          <w:rFonts w:ascii="PingFang SC" w:hAnsi="PingFang SC" w:eastAsia="PingFang SC" w:cs="PingFang SC"/>
          <w:b/>
          <w:color w:val="2E74B5"/>
          <w:sz w:val="26"/>
        </w:rPr>
        <w:t>12.4 验收标准建议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宋体" w:hAnsi="宋体" w:eastAsia="宋体" w:cs="宋体"/>
          <w:color w:val="172B3A"/>
          <w:sz w:val="22"/>
        </w:rPr>
        <w:t>安装和初始化流程可重复执行，必要环境变量有明确校验。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宋体" w:hAnsi="宋体" w:eastAsia="宋体" w:cs="宋体"/>
          <w:color w:val="172B3A"/>
          <w:sz w:val="22"/>
        </w:rPr>
        <w:t>用户可按角色和资源权限完成预期操作，不能通过直接接口越权。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宋体" w:hAnsi="宋体" w:eastAsia="宋体" w:cs="宋体"/>
          <w:color w:val="172B3A"/>
          <w:sz w:val="22"/>
        </w:rPr>
        <w:t>机器状态、进程列表、统计和操作后状态在约定时间内保持一致。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宋体" w:hAnsi="宋体" w:eastAsia="宋体" w:cs="宋体"/>
          <w:color w:val="172B3A"/>
          <w:sz w:val="22"/>
        </w:rPr>
        <w:t>日志可持续接收且断开后能重新连接，无新日志时能够自动降频。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宋体" w:hAnsi="宋体" w:eastAsia="宋体" w:cs="宋体"/>
          <w:color w:val="172B3A"/>
          <w:sz w:val="22"/>
        </w:rPr>
        <w:t>数据库备份可恢复，密钥和凭据管理符合公司安全要求。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宋体" w:hAnsi="宋体" w:eastAsia="宋体" w:cs="宋体"/>
          <w:color w:val="172B3A"/>
          <w:sz w:val="22"/>
        </w:rPr>
        <w:t>使用说明、接口文档、版本号和最终交存代码保持一致。</w:t>
      </w:r>
    </w:p>
    <w:p>
      <w:pPr>
        <w:pStyle w:val="Heading1"/>
      </w:pPr>
      <w:r>
        <w:rPr>
          <w:rFonts w:ascii="PingFang SC" w:hAnsi="PingFang SC" w:eastAsia="PingFang SC" w:cs="PingFang SC"/>
          <w:b/>
          <w:color w:val="2E74B5"/>
          <w:sz w:val="32"/>
        </w:rPr>
        <w:t>13 技术特点与独创性说明</w:t>
      </w:r>
    </w:p>
    <w:p>
      <w:pPr>
        <w:spacing w:after="120" w:line="300" w:lineRule="auto"/>
        <w:ind w:firstLine="420"/>
        <w:jc w:val="both"/>
      </w:pPr>
      <w:r>
        <w:rPr>
          <w:rFonts w:ascii="宋体" w:hAnsi="宋体" w:eastAsia="宋体" w:cs="宋体"/>
          <w:color w:val="172B3A"/>
          <w:sz w:val="22"/>
        </w:rPr>
        <w:t>SuperD围绕多服务器Supervisor运维场景形成了统一的Web管理模型，将分散的命令行控制转换为带身份、资源层级、实时状态和可视化反馈的浏览器工作流。软件的技术特点不是单一调用Supervisor接口，而是对多机资源组织、权限粒度、缓存一致性、实时日志和服务集成安全进行组合设计。</w:t>
      </w:r>
    </w:p>
    <w:p>
      <w:pPr>
        <w:pStyle w:val="Heading2"/>
      </w:pPr>
      <w:r>
        <w:rPr>
          <w:rFonts w:ascii="PingFang SC" w:hAnsi="PingFang SC" w:eastAsia="PingFang SC" w:cs="PingFang SC"/>
          <w:b/>
          <w:color w:val="2E74B5"/>
          <w:sz w:val="26"/>
        </w:rPr>
        <w:t>13.1 多层级资源组织</w:t>
      </w:r>
    </w:p>
    <w:p>
      <w:pPr>
        <w:spacing w:after="120" w:line="300" w:lineRule="auto"/>
        <w:ind w:firstLine="420"/>
        <w:jc w:val="both"/>
      </w:pPr>
      <w:r>
        <w:rPr>
          <w:rFonts w:ascii="宋体" w:hAnsi="宋体" w:eastAsia="宋体" w:cs="宋体"/>
          <w:color w:val="172B3A"/>
          <w:sz w:val="22"/>
        </w:rPr>
        <w:t>系统把分组、机器和程序构成统一资源树，并对机器名称进行前缀与尾号自然排序。用户可以从分组定位机器，再进入具体程序，同时支持全局汇总和关键字搜索。该模型适应机器数量增长和多业务团队协作。</w:t>
      </w:r>
    </w:p>
    <w:p>
      <w:pPr>
        <w:pStyle w:val="Heading2"/>
      </w:pPr>
      <w:r>
        <w:rPr>
          <w:rFonts w:ascii="PingFang SC" w:hAnsi="PingFang SC" w:eastAsia="PingFang SC" w:cs="PingFang SC"/>
          <w:b/>
          <w:color w:val="2E74B5"/>
          <w:sz w:val="26"/>
        </w:rPr>
        <w:t>13.2 双粒度权限模型</w:t>
      </w:r>
    </w:p>
    <w:p>
      <w:pPr>
        <w:spacing w:after="120" w:line="300" w:lineRule="auto"/>
        <w:ind w:firstLine="420"/>
        <w:jc w:val="both"/>
      </w:pPr>
      <w:r>
        <w:rPr>
          <w:rFonts w:ascii="宋体" w:hAnsi="宋体" w:eastAsia="宋体" w:cs="宋体"/>
          <w:color w:val="172B3A"/>
          <w:sz w:val="22"/>
        </w:rPr>
        <w:t>在三级角色基础上，系统进一步提供机器级和程序级授权。程序级权限先于机器级权限判定，既支持整机运维，也支持只授权单个程序；普通管理员通过上级关系管理自己的组员，形成角色边界与资源边界的组合控制。</w:t>
      </w:r>
    </w:p>
    <w:p>
      <w:pPr>
        <w:pStyle w:val="Heading2"/>
      </w:pPr>
      <w:r>
        <w:rPr>
          <w:rFonts w:ascii="PingFang SC" w:hAnsi="PingFang SC" w:eastAsia="PingFang SC" w:cs="PingFang SC"/>
          <w:b/>
          <w:color w:val="2E74B5"/>
          <w:sz w:val="26"/>
        </w:rPr>
        <w:t>13.3 状态与日志的自适应机制</w:t>
      </w:r>
    </w:p>
    <w:p>
      <w:pPr>
        <w:spacing w:after="120" w:line="300" w:lineRule="auto"/>
        <w:ind w:firstLine="420"/>
        <w:jc w:val="both"/>
      </w:pPr>
      <w:r>
        <w:rPr>
          <w:rFonts w:ascii="宋体" w:hAnsi="宋体" w:eastAsia="宋体" w:cs="宋体"/>
          <w:color w:val="172B3A"/>
          <w:sz w:val="22"/>
        </w:rPr>
        <w:t>进程查询采用短周期缓存，界面采用10秒静默刷新，控制操作后主动清除缓存。实时日志按偏移量读取，只推送新增内容，并根据空日志次数在1秒和10秒轮询之间自适应切换。该组合在及时性、界面稳定性和服务器负载之间取得平衡。</w:t>
      </w:r>
    </w:p>
    <w:p>
      <w:pPr>
        <w:pStyle w:val="Heading2"/>
      </w:pPr>
      <w:r>
        <w:rPr>
          <w:rFonts w:ascii="PingFang SC" w:hAnsi="PingFang SC" w:eastAsia="PingFang SC" w:cs="PingFang SC"/>
          <w:b/>
          <w:color w:val="2E74B5"/>
          <w:sz w:val="26"/>
        </w:rPr>
        <w:t>13.4 人员访问与服务访问分离</w:t>
      </w:r>
    </w:p>
    <w:p>
      <w:pPr>
        <w:spacing w:after="120" w:line="300" w:lineRule="auto"/>
        <w:ind w:firstLine="420"/>
        <w:jc w:val="both"/>
      </w:pPr>
      <w:r>
        <w:rPr>
          <w:rFonts w:ascii="宋体" w:hAnsi="宋体" w:eastAsia="宋体" w:cs="宋体"/>
          <w:color w:val="172B3A"/>
          <w:sz w:val="22"/>
        </w:rPr>
        <w:t>网页登录使用JWT，长期服务调用使用独立API Token。服务令牌具有scope、有效期、撤销状态、摘要存储和调用审计，并且还要受到绑定用户资源权限限制。两套认证方式对应不同使用主体，避免把人员短期令牌直接用于自动化服务。</w:t>
      </w:r>
    </w:p>
    <w:p>
      <w:pPr>
        <w:pStyle w:val="Heading1"/>
      </w:pPr>
      <w:r>
        <w:rPr>
          <w:rFonts w:ascii="PingFang SC" w:hAnsi="PingFang SC" w:eastAsia="PingFang SC" w:cs="PingFang SC"/>
          <w:b/>
          <w:color w:val="2E74B5"/>
          <w:sz w:val="32"/>
        </w:rPr>
        <w:t>附录A 主要接口清单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1500"/>
        <w:gridCol w:w="4500"/>
        <w:gridCol w:w="2160"/>
      </w:tblGrid>
      <w:tr>
        <w:trPr>
          <w:tblHeader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PingFang SC" w:hAnsi="PingFang SC" w:eastAsia="PingFang SC" w:cs="PingFang SC"/>
                <w:b/>
                <w:color w:val="1F4D78"/>
                <w:sz w:val="15"/>
              </w:rPr>
              <w:t>模块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PingFang SC" w:hAnsi="PingFang SC" w:eastAsia="PingFang SC" w:cs="PingFang SC"/>
                <w:b/>
                <w:color w:val="1F4D78"/>
                <w:sz w:val="15"/>
              </w:rPr>
              <w:t>方法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PingFang SC" w:hAnsi="PingFang SC" w:eastAsia="PingFang SC" w:cs="PingFang SC"/>
                <w:b/>
                <w:color w:val="1F4D78"/>
                <w:sz w:val="15"/>
              </w:rPr>
              <w:t>路径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PingFang SC" w:hAnsi="PingFang SC" w:eastAsia="PingFang SC" w:cs="PingFang SC"/>
                <w:b/>
                <w:color w:val="1F4D78"/>
                <w:sz w:val="15"/>
              </w:rPr>
              <w:t>说明</w:t>
            </w:r>
          </w:p>
        </w:tc>
      </w:tr>
      <w:tr>
        <w:tc>
          <w:tcPr>
            <w:tcW w:type="dxa" w:w="120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color w:val="172B3A"/>
                <w:sz w:val="15"/>
              </w:rPr>
              <w:t>认证</w:t>
            </w:r>
          </w:p>
        </w:tc>
        <w:tc>
          <w:tcPr>
            <w:tcW w:type="dxa" w:w="150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color w:val="172B3A"/>
                <w:sz w:val="15"/>
              </w:rPr>
              <w:t>POST</w:t>
            </w:r>
          </w:p>
        </w:tc>
        <w:tc>
          <w:tcPr>
            <w:tcW w:type="dxa" w:w="4500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5"/>
              </w:rPr>
              <w:t>/api/login</w:t>
            </w:r>
          </w:p>
        </w:tc>
        <w:tc>
          <w:tcPr>
            <w:tcW w:type="dxa" w:w="2160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5"/>
              </w:rPr>
              <w:t>用户登录</w:t>
            </w:r>
          </w:p>
        </w:tc>
      </w:tr>
      <w:tr>
        <w:tc>
          <w:tcPr>
            <w:tcW w:type="dxa" w:w="1200"/>
            <w:shd w:fill="FAFBFC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color w:val="172B3A"/>
                <w:sz w:val="15"/>
              </w:rPr>
              <w:t>认证</w:t>
            </w:r>
          </w:p>
        </w:tc>
        <w:tc>
          <w:tcPr>
            <w:tcW w:type="dxa" w:w="1500"/>
            <w:shd w:fill="FAFBFC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color w:val="172B3A"/>
                <w:sz w:val="15"/>
              </w:rPr>
              <w:t>GET</w:t>
            </w:r>
          </w:p>
        </w:tc>
        <w:tc>
          <w:tcPr>
            <w:tcW w:type="dxa" w:w="4500"/>
            <w:shd w:fill="FAFBFC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5"/>
              </w:rPr>
              <w:t>/api/user</w:t>
            </w:r>
          </w:p>
        </w:tc>
        <w:tc>
          <w:tcPr>
            <w:tcW w:type="dxa" w:w="2160"/>
            <w:shd w:fill="FAFBFC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5"/>
              </w:rPr>
              <w:t>获取当前用户</w:t>
            </w:r>
          </w:p>
        </w:tc>
      </w:tr>
      <w:tr>
        <w:tc>
          <w:tcPr>
            <w:tcW w:type="dxa" w:w="120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color w:val="172B3A"/>
                <w:sz w:val="15"/>
              </w:rPr>
              <w:t>机器</w:t>
            </w:r>
          </w:p>
        </w:tc>
        <w:tc>
          <w:tcPr>
            <w:tcW w:type="dxa" w:w="150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color w:val="172B3A"/>
                <w:sz w:val="15"/>
              </w:rPr>
              <w:t>GET</w:t>
            </w:r>
          </w:p>
        </w:tc>
        <w:tc>
          <w:tcPr>
            <w:tcW w:type="dxa" w:w="4500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5"/>
              </w:rPr>
              <w:t>/api/projects</w:t>
            </w:r>
          </w:p>
        </w:tc>
        <w:tc>
          <w:tcPr>
            <w:tcW w:type="dxa" w:w="2160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5"/>
              </w:rPr>
              <w:t>获取可见机器</w:t>
            </w:r>
          </w:p>
        </w:tc>
      </w:tr>
      <w:tr>
        <w:tc>
          <w:tcPr>
            <w:tcW w:type="dxa" w:w="1200"/>
            <w:shd w:fill="FAFBFC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color w:val="172B3A"/>
                <w:sz w:val="15"/>
              </w:rPr>
              <w:t>机器</w:t>
            </w:r>
          </w:p>
        </w:tc>
        <w:tc>
          <w:tcPr>
            <w:tcW w:type="dxa" w:w="1500"/>
            <w:shd w:fill="FAFBFC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color w:val="172B3A"/>
                <w:sz w:val="15"/>
              </w:rPr>
              <w:t>POST</w:t>
            </w:r>
          </w:p>
        </w:tc>
        <w:tc>
          <w:tcPr>
            <w:tcW w:type="dxa" w:w="4500"/>
            <w:shd w:fill="FAFBFC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5"/>
              </w:rPr>
              <w:t>/api/projects</w:t>
            </w:r>
          </w:p>
        </w:tc>
        <w:tc>
          <w:tcPr>
            <w:tcW w:type="dxa" w:w="2160"/>
            <w:shd w:fill="FAFBFC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5"/>
              </w:rPr>
              <w:t>创建机器</w:t>
            </w:r>
          </w:p>
        </w:tc>
      </w:tr>
      <w:tr>
        <w:tc>
          <w:tcPr>
            <w:tcW w:type="dxa" w:w="120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color w:val="172B3A"/>
                <w:sz w:val="15"/>
              </w:rPr>
              <w:t>机器</w:t>
            </w:r>
          </w:p>
        </w:tc>
        <w:tc>
          <w:tcPr>
            <w:tcW w:type="dxa" w:w="150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color w:val="172B3A"/>
                <w:sz w:val="15"/>
              </w:rPr>
              <w:t>PUT</w:t>
            </w:r>
          </w:p>
        </w:tc>
        <w:tc>
          <w:tcPr>
            <w:tcW w:type="dxa" w:w="4500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5"/>
              </w:rPr>
              <w:t>/api/projects/:id</w:t>
            </w:r>
          </w:p>
        </w:tc>
        <w:tc>
          <w:tcPr>
            <w:tcW w:type="dxa" w:w="2160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5"/>
              </w:rPr>
              <w:t>更新机器</w:t>
            </w:r>
          </w:p>
        </w:tc>
      </w:tr>
      <w:tr>
        <w:tc>
          <w:tcPr>
            <w:tcW w:type="dxa" w:w="1200"/>
            <w:shd w:fill="FAFBFC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color w:val="172B3A"/>
                <w:sz w:val="15"/>
              </w:rPr>
              <w:t>机器</w:t>
            </w:r>
          </w:p>
        </w:tc>
        <w:tc>
          <w:tcPr>
            <w:tcW w:type="dxa" w:w="1500"/>
            <w:shd w:fill="FAFBFC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color w:val="172B3A"/>
                <w:sz w:val="15"/>
              </w:rPr>
              <w:t>DELETE</w:t>
            </w:r>
          </w:p>
        </w:tc>
        <w:tc>
          <w:tcPr>
            <w:tcW w:type="dxa" w:w="4500"/>
            <w:shd w:fill="FAFBFC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5"/>
              </w:rPr>
              <w:t>/api/projects/:id</w:t>
            </w:r>
          </w:p>
        </w:tc>
        <w:tc>
          <w:tcPr>
            <w:tcW w:type="dxa" w:w="2160"/>
            <w:shd w:fill="FAFBFC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5"/>
              </w:rPr>
              <w:t>删除机器</w:t>
            </w:r>
          </w:p>
        </w:tc>
      </w:tr>
      <w:tr>
        <w:tc>
          <w:tcPr>
            <w:tcW w:type="dxa" w:w="120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color w:val="172B3A"/>
                <w:sz w:val="15"/>
              </w:rPr>
              <w:t>机器</w:t>
            </w:r>
          </w:p>
        </w:tc>
        <w:tc>
          <w:tcPr>
            <w:tcW w:type="dxa" w:w="150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color w:val="172B3A"/>
                <w:sz w:val="15"/>
              </w:rPr>
              <w:t>GET</w:t>
            </w:r>
          </w:p>
        </w:tc>
        <w:tc>
          <w:tcPr>
            <w:tcW w:type="dxa" w:w="4500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5"/>
              </w:rPr>
              <w:t>/api/projects/:id/status</w:t>
            </w:r>
          </w:p>
        </w:tc>
        <w:tc>
          <w:tcPr>
            <w:tcW w:type="dxa" w:w="2160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5"/>
              </w:rPr>
              <w:t>检查连接状态</w:t>
            </w:r>
          </w:p>
        </w:tc>
      </w:tr>
      <w:tr>
        <w:tc>
          <w:tcPr>
            <w:tcW w:type="dxa" w:w="1200"/>
            <w:shd w:fill="FAFBFC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color w:val="172B3A"/>
                <w:sz w:val="15"/>
              </w:rPr>
              <w:t>分组</w:t>
            </w:r>
          </w:p>
        </w:tc>
        <w:tc>
          <w:tcPr>
            <w:tcW w:type="dxa" w:w="1500"/>
            <w:shd w:fill="FAFBFC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color w:val="172B3A"/>
                <w:sz w:val="15"/>
              </w:rPr>
              <w:t>GET</w:t>
            </w:r>
          </w:p>
        </w:tc>
        <w:tc>
          <w:tcPr>
            <w:tcW w:type="dxa" w:w="4500"/>
            <w:shd w:fill="FAFBFC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5"/>
              </w:rPr>
              <w:t>/api/groups</w:t>
            </w:r>
          </w:p>
        </w:tc>
        <w:tc>
          <w:tcPr>
            <w:tcW w:type="dxa" w:w="2160"/>
            <w:shd w:fill="FAFBFC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5"/>
              </w:rPr>
              <w:t>分组列表</w:t>
            </w:r>
          </w:p>
        </w:tc>
      </w:tr>
      <w:tr>
        <w:tc>
          <w:tcPr>
            <w:tcW w:type="dxa" w:w="120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color w:val="172B3A"/>
                <w:sz w:val="15"/>
              </w:rPr>
              <w:t>分组</w:t>
            </w:r>
          </w:p>
        </w:tc>
        <w:tc>
          <w:tcPr>
            <w:tcW w:type="dxa" w:w="150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color w:val="172B3A"/>
                <w:sz w:val="15"/>
              </w:rPr>
              <w:t>POST</w:t>
            </w:r>
          </w:p>
        </w:tc>
        <w:tc>
          <w:tcPr>
            <w:tcW w:type="dxa" w:w="4500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5"/>
              </w:rPr>
              <w:t>/api/groups</w:t>
            </w:r>
          </w:p>
        </w:tc>
        <w:tc>
          <w:tcPr>
            <w:tcW w:type="dxa" w:w="2160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5"/>
              </w:rPr>
              <w:t>创建分组</w:t>
            </w:r>
          </w:p>
        </w:tc>
      </w:tr>
      <w:tr>
        <w:tc>
          <w:tcPr>
            <w:tcW w:type="dxa" w:w="1200"/>
            <w:shd w:fill="FAFBFC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color w:val="172B3A"/>
                <w:sz w:val="15"/>
              </w:rPr>
              <w:t>分组</w:t>
            </w:r>
          </w:p>
        </w:tc>
        <w:tc>
          <w:tcPr>
            <w:tcW w:type="dxa" w:w="1500"/>
            <w:shd w:fill="FAFBFC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color w:val="172B3A"/>
                <w:sz w:val="15"/>
              </w:rPr>
              <w:t>PUT</w:t>
            </w:r>
          </w:p>
        </w:tc>
        <w:tc>
          <w:tcPr>
            <w:tcW w:type="dxa" w:w="4500"/>
            <w:shd w:fill="FAFBFC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5"/>
              </w:rPr>
              <w:t>/api/groups/:id</w:t>
            </w:r>
          </w:p>
        </w:tc>
        <w:tc>
          <w:tcPr>
            <w:tcW w:type="dxa" w:w="2160"/>
            <w:shd w:fill="FAFBFC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5"/>
              </w:rPr>
              <w:t>更新分组</w:t>
            </w:r>
          </w:p>
        </w:tc>
      </w:tr>
      <w:tr>
        <w:tc>
          <w:tcPr>
            <w:tcW w:type="dxa" w:w="120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color w:val="172B3A"/>
                <w:sz w:val="15"/>
              </w:rPr>
              <w:t>分组</w:t>
            </w:r>
          </w:p>
        </w:tc>
        <w:tc>
          <w:tcPr>
            <w:tcW w:type="dxa" w:w="150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color w:val="172B3A"/>
                <w:sz w:val="15"/>
              </w:rPr>
              <w:t>DELETE</w:t>
            </w:r>
          </w:p>
        </w:tc>
        <w:tc>
          <w:tcPr>
            <w:tcW w:type="dxa" w:w="4500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5"/>
              </w:rPr>
              <w:t>/api/groups/:id</w:t>
            </w:r>
          </w:p>
        </w:tc>
        <w:tc>
          <w:tcPr>
            <w:tcW w:type="dxa" w:w="2160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5"/>
              </w:rPr>
              <w:t>删除分组</w:t>
            </w:r>
          </w:p>
        </w:tc>
      </w:tr>
      <w:tr>
        <w:tc>
          <w:tcPr>
            <w:tcW w:type="dxa" w:w="1200"/>
            <w:shd w:fill="FAFBFC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color w:val="172B3A"/>
                <w:sz w:val="15"/>
              </w:rPr>
              <w:t>进程</w:t>
            </w:r>
          </w:p>
        </w:tc>
        <w:tc>
          <w:tcPr>
            <w:tcW w:type="dxa" w:w="1500"/>
            <w:shd w:fill="FAFBFC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color w:val="172B3A"/>
                <w:sz w:val="15"/>
              </w:rPr>
              <w:t>GET</w:t>
            </w:r>
          </w:p>
        </w:tc>
        <w:tc>
          <w:tcPr>
            <w:tcW w:type="dxa" w:w="4500"/>
            <w:shd w:fill="FAFBFC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5"/>
              </w:rPr>
              <w:t>/api/projects/:id/programs</w:t>
            </w:r>
          </w:p>
        </w:tc>
        <w:tc>
          <w:tcPr>
            <w:tcW w:type="dxa" w:w="2160"/>
            <w:shd w:fill="FAFBFC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5"/>
              </w:rPr>
              <w:t>机器进程列表</w:t>
            </w:r>
          </w:p>
        </w:tc>
      </w:tr>
      <w:tr>
        <w:tc>
          <w:tcPr>
            <w:tcW w:type="dxa" w:w="120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color w:val="172B3A"/>
                <w:sz w:val="15"/>
              </w:rPr>
              <w:t>进程</w:t>
            </w:r>
          </w:p>
        </w:tc>
        <w:tc>
          <w:tcPr>
            <w:tcW w:type="dxa" w:w="150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color w:val="172B3A"/>
                <w:sz w:val="15"/>
              </w:rPr>
              <w:t>GET</w:t>
            </w:r>
          </w:p>
        </w:tc>
        <w:tc>
          <w:tcPr>
            <w:tcW w:type="dxa" w:w="4500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5"/>
              </w:rPr>
              <w:t>/api/programs</w:t>
            </w:r>
          </w:p>
        </w:tc>
        <w:tc>
          <w:tcPr>
            <w:tcW w:type="dxa" w:w="2160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5"/>
              </w:rPr>
              <w:t>全部可见进程</w:t>
            </w:r>
          </w:p>
        </w:tc>
      </w:tr>
      <w:tr>
        <w:tc>
          <w:tcPr>
            <w:tcW w:type="dxa" w:w="1200"/>
            <w:shd w:fill="FAFBFC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color w:val="172B3A"/>
                <w:sz w:val="15"/>
              </w:rPr>
              <w:t>进程</w:t>
            </w:r>
          </w:p>
        </w:tc>
        <w:tc>
          <w:tcPr>
            <w:tcW w:type="dxa" w:w="1500"/>
            <w:shd w:fill="FAFBFC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color w:val="172B3A"/>
                <w:sz w:val="15"/>
              </w:rPr>
              <w:t>POST</w:t>
            </w:r>
          </w:p>
        </w:tc>
        <w:tc>
          <w:tcPr>
            <w:tcW w:type="dxa" w:w="4500"/>
            <w:shd w:fill="FAFBFC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5"/>
              </w:rPr>
              <w:t>/api/programs/:id/start</w:t>
            </w:r>
          </w:p>
        </w:tc>
        <w:tc>
          <w:tcPr>
            <w:tcW w:type="dxa" w:w="2160"/>
            <w:shd w:fill="FAFBFC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5"/>
              </w:rPr>
              <w:t>启动进程</w:t>
            </w:r>
          </w:p>
        </w:tc>
      </w:tr>
      <w:tr>
        <w:tc>
          <w:tcPr>
            <w:tcW w:type="dxa" w:w="120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color w:val="172B3A"/>
                <w:sz w:val="15"/>
              </w:rPr>
              <w:t>进程</w:t>
            </w:r>
          </w:p>
        </w:tc>
        <w:tc>
          <w:tcPr>
            <w:tcW w:type="dxa" w:w="150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color w:val="172B3A"/>
                <w:sz w:val="15"/>
              </w:rPr>
              <w:t>POST</w:t>
            </w:r>
          </w:p>
        </w:tc>
        <w:tc>
          <w:tcPr>
            <w:tcW w:type="dxa" w:w="4500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5"/>
              </w:rPr>
              <w:t>/api/programs/:id/stop</w:t>
            </w:r>
          </w:p>
        </w:tc>
        <w:tc>
          <w:tcPr>
            <w:tcW w:type="dxa" w:w="2160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5"/>
              </w:rPr>
              <w:t>停止进程</w:t>
            </w:r>
          </w:p>
        </w:tc>
      </w:tr>
      <w:tr>
        <w:tc>
          <w:tcPr>
            <w:tcW w:type="dxa" w:w="1200"/>
            <w:shd w:fill="FAFBFC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color w:val="172B3A"/>
                <w:sz w:val="15"/>
              </w:rPr>
              <w:t>进程</w:t>
            </w:r>
          </w:p>
        </w:tc>
        <w:tc>
          <w:tcPr>
            <w:tcW w:type="dxa" w:w="1500"/>
            <w:shd w:fill="FAFBFC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color w:val="172B3A"/>
                <w:sz w:val="15"/>
              </w:rPr>
              <w:t>POST</w:t>
            </w:r>
          </w:p>
        </w:tc>
        <w:tc>
          <w:tcPr>
            <w:tcW w:type="dxa" w:w="4500"/>
            <w:shd w:fill="FAFBFC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5"/>
              </w:rPr>
              <w:t>/api/programs/:id/restart</w:t>
            </w:r>
          </w:p>
        </w:tc>
        <w:tc>
          <w:tcPr>
            <w:tcW w:type="dxa" w:w="2160"/>
            <w:shd w:fill="FAFBFC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5"/>
              </w:rPr>
              <w:t>重启进程</w:t>
            </w:r>
          </w:p>
        </w:tc>
      </w:tr>
      <w:tr>
        <w:tc>
          <w:tcPr>
            <w:tcW w:type="dxa" w:w="120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color w:val="172B3A"/>
                <w:sz w:val="15"/>
              </w:rPr>
              <w:t>进程</w:t>
            </w:r>
          </w:p>
        </w:tc>
        <w:tc>
          <w:tcPr>
            <w:tcW w:type="dxa" w:w="150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color w:val="172B3A"/>
                <w:sz w:val="15"/>
              </w:rPr>
              <w:t>GET</w:t>
            </w:r>
          </w:p>
        </w:tc>
        <w:tc>
          <w:tcPr>
            <w:tcW w:type="dxa" w:w="4500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5"/>
              </w:rPr>
              <w:t>/api/programs/:id/stdout</w:t>
            </w:r>
          </w:p>
        </w:tc>
        <w:tc>
          <w:tcPr>
            <w:tcW w:type="dxa" w:w="2160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5"/>
              </w:rPr>
              <w:t>读取标准输出</w:t>
            </w:r>
          </w:p>
        </w:tc>
      </w:tr>
      <w:tr>
        <w:tc>
          <w:tcPr>
            <w:tcW w:type="dxa" w:w="1200"/>
            <w:shd w:fill="FAFBFC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color w:val="172B3A"/>
                <w:sz w:val="15"/>
              </w:rPr>
              <w:t>进程</w:t>
            </w:r>
          </w:p>
        </w:tc>
        <w:tc>
          <w:tcPr>
            <w:tcW w:type="dxa" w:w="1500"/>
            <w:shd w:fill="FAFBFC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color w:val="172B3A"/>
                <w:sz w:val="15"/>
              </w:rPr>
              <w:t>GET</w:t>
            </w:r>
          </w:p>
        </w:tc>
        <w:tc>
          <w:tcPr>
            <w:tcW w:type="dxa" w:w="4500"/>
            <w:shd w:fill="FAFBFC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5"/>
              </w:rPr>
              <w:t>/api/programs/:id/stderr</w:t>
            </w:r>
          </w:p>
        </w:tc>
        <w:tc>
          <w:tcPr>
            <w:tcW w:type="dxa" w:w="2160"/>
            <w:shd w:fill="FAFBFC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5"/>
              </w:rPr>
              <w:t>读取错误输出</w:t>
            </w:r>
          </w:p>
        </w:tc>
      </w:tr>
      <w:tr>
        <w:tc>
          <w:tcPr>
            <w:tcW w:type="dxa" w:w="120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color w:val="172B3A"/>
                <w:sz w:val="15"/>
              </w:rPr>
              <w:t>批量</w:t>
            </w:r>
          </w:p>
        </w:tc>
        <w:tc>
          <w:tcPr>
            <w:tcW w:type="dxa" w:w="150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color w:val="172B3A"/>
                <w:sz w:val="15"/>
              </w:rPr>
              <w:t>POST</w:t>
            </w:r>
          </w:p>
        </w:tc>
        <w:tc>
          <w:tcPr>
            <w:tcW w:type="dxa" w:w="4500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5"/>
              </w:rPr>
              <w:t>/api/projects/:id/programs/start-all</w:t>
            </w:r>
          </w:p>
        </w:tc>
        <w:tc>
          <w:tcPr>
            <w:tcW w:type="dxa" w:w="2160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5"/>
              </w:rPr>
              <w:t>全部启动</w:t>
            </w:r>
          </w:p>
        </w:tc>
      </w:tr>
      <w:tr>
        <w:tc>
          <w:tcPr>
            <w:tcW w:type="dxa" w:w="1200"/>
            <w:shd w:fill="FAFBFC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color w:val="172B3A"/>
                <w:sz w:val="15"/>
              </w:rPr>
              <w:t>批量</w:t>
            </w:r>
          </w:p>
        </w:tc>
        <w:tc>
          <w:tcPr>
            <w:tcW w:type="dxa" w:w="1500"/>
            <w:shd w:fill="FAFBFC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color w:val="172B3A"/>
                <w:sz w:val="15"/>
              </w:rPr>
              <w:t>POST</w:t>
            </w:r>
          </w:p>
        </w:tc>
        <w:tc>
          <w:tcPr>
            <w:tcW w:type="dxa" w:w="4500"/>
            <w:shd w:fill="FAFBFC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5"/>
              </w:rPr>
              <w:t>/api/projects/:id/programs/stop-all</w:t>
            </w:r>
          </w:p>
        </w:tc>
        <w:tc>
          <w:tcPr>
            <w:tcW w:type="dxa" w:w="2160"/>
            <w:shd w:fill="FAFBFC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5"/>
              </w:rPr>
              <w:t>全部停止</w:t>
            </w:r>
          </w:p>
        </w:tc>
      </w:tr>
      <w:tr>
        <w:tc>
          <w:tcPr>
            <w:tcW w:type="dxa" w:w="120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color w:val="172B3A"/>
                <w:sz w:val="15"/>
              </w:rPr>
              <w:t>批量</w:t>
            </w:r>
          </w:p>
        </w:tc>
        <w:tc>
          <w:tcPr>
            <w:tcW w:type="dxa" w:w="150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color w:val="172B3A"/>
                <w:sz w:val="15"/>
              </w:rPr>
              <w:t>POST</w:t>
            </w:r>
          </w:p>
        </w:tc>
        <w:tc>
          <w:tcPr>
            <w:tcW w:type="dxa" w:w="4500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5"/>
              </w:rPr>
              <w:t>/api/projects/:id/programs/restart-all</w:t>
            </w:r>
          </w:p>
        </w:tc>
        <w:tc>
          <w:tcPr>
            <w:tcW w:type="dxa" w:w="2160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5"/>
              </w:rPr>
              <w:t>全部重启</w:t>
            </w:r>
          </w:p>
        </w:tc>
      </w:tr>
      <w:tr>
        <w:tc>
          <w:tcPr>
            <w:tcW w:type="dxa" w:w="1200"/>
            <w:shd w:fill="FAFBFC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color w:val="172B3A"/>
                <w:sz w:val="15"/>
              </w:rPr>
              <w:t>批量</w:t>
            </w:r>
          </w:p>
        </w:tc>
        <w:tc>
          <w:tcPr>
            <w:tcW w:type="dxa" w:w="1500"/>
            <w:shd w:fill="FAFBFC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color w:val="172B3A"/>
                <w:sz w:val="15"/>
              </w:rPr>
              <w:t>POST</w:t>
            </w:r>
          </w:p>
        </w:tc>
        <w:tc>
          <w:tcPr>
            <w:tcW w:type="dxa" w:w="4500"/>
            <w:shd w:fill="FAFBFC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5"/>
              </w:rPr>
              <w:t>/api/projects/:id/reload</w:t>
            </w:r>
          </w:p>
        </w:tc>
        <w:tc>
          <w:tcPr>
            <w:tcW w:type="dxa" w:w="2160"/>
            <w:shd w:fill="FAFBFC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5"/>
              </w:rPr>
              <w:t>重载Supervisor配置</w:t>
            </w:r>
          </w:p>
        </w:tc>
      </w:tr>
      <w:tr>
        <w:tc>
          <w:tcPr>
            <w:tcW w:type="dxa" w:w="120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color w:val="172B3A"/>
                <w:sz w:val="15"/>
              </w:rPr>
              <w:t>用户</w:t>
            </w:r>
          </w:p>
        </w:tc>
        <w:tc>
          <w:tcPr>
            <w:tcW w:type="dxa" w:w="150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color w:val="172B3A"/>
                <w:sz w:val="15"/>
              </w:rPr>
              <w:t>GET</w:t>
            </w:r>
          </w:p>
        </w:tc>
        <w:tc>
          <w:tcPr>
            <w:tcW w:type="dxa" w:w="4500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5"/>
              </w:rPr>
              <w:t>/api/users</w:t>
            </w:r>
          </w:p>
        </w:tc>
        <w:tc>
          <w:tcPr>
            <w:tcW w:type="dxa" w:w="2160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5"/>
              </w:rPr>
              <w:t>用户列表</w:t>
            </w:r>
          </w:p>
        </w:tc>
      </w:tr>
      <w:tr>
        <w:tc>
          <w:tcPr>
            <w:tcW w:type="dxa" w:w="1200"/>
            <w:shd w:fill="FAFBFC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color w:val="172B3A"/>
                <w:sz w:val="15"/>
              </w:rPr>
              <w:t>用户</w:t>
            </w:r>
          </w:p>
        </w:tc>
        <w:tc>
          <w:tcPr>
            <w:tcW w:type="dxa" w:w="1500"/>
            <w:shd w:fill="FAFBFC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color w:val="172B3A"/>
                <w:sz w:val="15"/>
              </w:rPr>
              <w:t>POST</w:t>
            </w:r>
          </w:p>
        </w:tc>
        <w:tc>
          <w:tcPr>
            <w:tcW w:type="dxa" w:w="4500"/>
            <w:shd w:fill="FAFBFC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5"/>
              </w:rPr>
              <w:t>/api/users</w:t>
            </w:r>
          </w:p>
        </w:tc>
        <w:tc>
          <w:tcPr>
            <w:tcW w:type="dxa" w:w="2160"/>
            <w:shd w:fill="FAFBFC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5"/>
              </w:rPr>
              <w:t>创建用户</w:t>
            </w:r>
          </w:p>
        </w:tc>
      </w:tr>
      <w:tr>
        <w:tc>
          <w:tcPr>
            <w:tcW w:type="dxa" w:w="120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color w:val="172B3A"/>
                <w:sz w:val="15"/>
              </w:rPr>
              <w:t>用户</w:t>
            </w:r>
          </w:p>
        </w:tc>
        <w:tc>
          <w:tcPr>
            <w:tcW w:type="dxa" w:w="150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color w:val="172B3A"/>
                <w:sz w:val="15"/>
              </w:rPr>
              <w:t>PUT</w:t>
            </w:r>
          </w:p>
        </w:tc>
        <w:tc>
          <w:tcPr>
            <w:tcW w:type="dxa" w:w="4500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5"/>
              </w:rPr>
              <w:t>/api/users/:id/role</w:t>
            </w:r>
          </w:p>
        </w:tc>
        <w:tc>
          <w:tcPr>
            <w:tcW w:type="dxa" w:w="2160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5"/>
              </w:rPr>
              <w:t>修改角色</w:t>
            </w:r>
          </w:p>
        </w:tc>
      </w:tr>
      <w:tr>
        <w:tc>
          <w:tcPr>
            <w:tcW w:type="dxa" w:w="1200"/>
            <w:shd w:fill="FAFBFC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color w:val="172B3A"/>
                <w:sz w:val="15"/>
              </w:rPr>
              <w:t>用户</w:t>
            </w:r>
          </w:p>
        </w:tc>
        <w:tc>
          <w:tcPr>
            <w:tcW w:type="dxa" w:w="1500"/>
            <w:shd w:fill="FAFBFC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color w:val="172B3A"/>
                <w:sz w:val="15"/>
              </w:rPr>
              <w:t>PUT</w:t>
            </w:r>
          </w:p>
        </w:tc>
        <w:tc>
          <w:tcPr>
            <w:tcW w:type="dxa" w:w="4500"/>
            <w:shd w:fill="FAFBFC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5"/>
              </w:rPr>
              <w:t>/api/users/:id/password</w:t>
            </w:r>
          </w:p>
        </w:tc>
        <w:tc>
          <w:tcPr>
            <w:tcW w:type="dxa" w:w="2160"/>
            <w:shd w:fill="FAFBFC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5"/>
              </w:rPr>
              <w:t>管理员重置密码</w:t>
            </w:r>
          </w:p>
        </w:tc>
      </w:tr>
      <w:tr>
        <w:tc>
          <w:tcPr>
            <w:tcW w:type="dxa" w:w="120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color w:val="172B3A"/>
                <w:sz w:val="15"/>
              </w:rPr>
              <w:t>权限</w:t>
            </w:r>
          </w:p>
        </w:tc>
        <w:tc>
          <w:tcPr>
            <w:tcW w:type="dxa" w:w="150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color w:val="172B3A"/>
                <w:sz w:val="15"/>
              </w:rPr>
              <w:t>GET/POST/DELETE</w:t>
            </w:r>
          </w:p>
        </w:tc>
        <w:tc>
          <w:tcPr>
            <w:tcW w:type="dxa" w:w="4500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5"/>
              </w:rPr>
              <w:t>/api/users/:id/project-permissions</w:t>
            </w:r>
          </w:p>
        </w:tc>
        <w:tc>
          <w:tcPr>
            <w:tcW w:type="dxa" w:w="2160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5"/>
              </w:rPr>
              <w:t>机器权限管理</w:t>
            </w:r>
          </w:p>
        </w:tc>
      </w:tr>
      <w:tr>
        <w:tc>
          <w:tcPr>
            <w:tcW w:type="dxa" w:w="1200"/>
            <w:shd w:fill="FAFBFC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color w:val="172B3A"/>
                <w:sz w:val="15"/>
              </w:rPr>
              <w:t>权限</w:t>
            </w:r>
          </w:p>
        </w:tc>
        <w:tc>
          <w:tcPr>
            <w:tcW w:type="dxa" w:w="1500"/>
            <w:shd w:fill="FAFBFC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color w:val="172B3A"/>
                <w:sz w:val="15"/>
              </w:rPr>
              <w:t>GET/POST/DELETE</w:t>
            </w:r>
          </w:p>
        </w:tc>
        <w:tc>
          <w:tcPr>
            <w:tcW w:type="dxa" w:w="4500"/>
            <w:shd w:fill="FAFBFC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5"/>
              </w:rPr>
              <w:t>/api/users/:id/program-permissions</w:t>
            </w:r>
          </w:p>
        </w:tc>
        <w:tc>
          <w:tcPr>
            <w:tcW w:type="dxa" w:w="2160"/>
            <w:shd w:fill="FAFBFC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5"/>
              </w:rPr>
              <w:t>程序权限管理</w:t>
            </w:r>
          </w:p>
        </w:tc>
      </w:tr>
      <w:tr>
        <w:tc>
          <w:tcPr>
            <w:tcW w:type="dxa" w:w="120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color w:val="172B3A"/>
                <w:sz w:val="15"/>
              </w:rPr>
              <w:t>令牌</w:t>
            </w:r>
          </w:p>
        </w:tc>
        <w:tc>
          <w:tcPr>
            <w:tcW w:type="dxa" w:w="150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color w:val="172B3A"/>
                <w:sz w:val="15"/>
              </w:rPr>
              <w:t>GET/POST</w:t>
            </w:r>
          </w:p>
        </w:tc>
        <w:tc>
          <w:tcPr>
            <w:tcW w:type="dxa" w:w="4500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5"/>
              </w:rPr>
              <w:t>/api/api-tokens</w:t>
            </w:r>
          </w:p>
        </w:tc>
        <w:tc>
          <w:tcPr>
            <w:tcW w:type="dxa" w:w="2160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5"/>
              </w:rPr>
              <w:t>查询/创建服务令牌</w:t>
            </w:r>
          </w:p>
        </w:tc>
      </w:tr>
      <w:tr>
        <w:tc>
          <w:tcPr>
            <w:tcW w:type="dxa" w:w="1200"/>
            <w:shd w:fill="FAFBFC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color w:val="172B3A"/>
                <w:sz w:val="15"/>
              </w:rPr>
              <w:t>令牌</w:t>
            </w:r>
          </w:p>
        </w:tc>
        <w:tc>
          <w:tcPr>
            <w:tcW w:type="dxa" w:w="1500"/>
            <w:shd w:fill="FAFBFC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color w:val="172B3A"/>
                <w:sz w:val="15"/>
              </w:rPr>
              <w:t>DELETE</w:t>
            </w:r>
          </w:p>
        </w:tc>
        <w:tc>
          <w:tcPr>
            <w:tcW w:type="dxa" w:w="4500"/>
            <w:shd w:fill="FAFBFC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5"/>
              </w:rPr>
              <w:t>/api/api-tokens/:id</w:t>
            </w:r>
          </w:p>
        </w:tc>
        <w:tc>
          <w:tcPr>
            <w:tcW w:type="dxa" w:w="2160"/>
            <w:shd w:fill="FAFBFC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5"/>
              </w:rPr>
              <w:t>撤销服务令牌</w:t>
            </w:r>
          </w:p>
        </w:tc>
      </w:tr>
      <w:tr>
        <w:tc>
          <w:tcPr>
            <w:tcW w:type="dxa" w:w="120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color w:val="172B3A"/>
                <w:sz w:val="15"/>
              </w:rPr>
              <w:t>审计</w:t>
            </w:r>
          </w:p>
        </w:tc>
        <w:tc>
          <w:tcPr>
            <w:tcW w:type="dxa" w:w="150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color w:val="172B3A"/>
                <w:sz w:val="15"/>
              </w:rPr>
              <w:t>GET</w:t>
            </w:r>
          </w:p>
        </w:tc>
        <w:tc>
          <w:tcPr>
            <w:tcW w:type="dxa" w:w="4500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5"/>
              </w:rPr>
              <w:t>/api/api-audit-events</w:t>
            </w:r>
          </w:p>
        </w:tc>
        <w:tc>
          <w:tcPr>
            <w:tcW w:type="dxa" w:w="2160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5"/>
              </w:rPr>
              <w:t>查询服务API审计</w:t>
            </w:r>
          </w:p>
        </w:tc>
      </w:tr>
      <w:tr>
        <w:tc>
          <w:tcPr>
            <w:tcW w:type="dxa" w:w="1200"/>
            <w:shd w:fill="FAFBFC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color w:val="172B3A"/>
                <w:sz w:val="15"/>
              </w:rPr>
              <w:t>版本</w:t>
            </w:r>
          </w:p>
        </w:tc>
        <w:tc>
          <w:tcPr>
            <w:tcW w:type="dxa" w:w="1500"/>
            <w:shd w:fill="FAFBFC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color w:val="172B3A"/>
                <w:sz w:val="15"/>
              </w:rPr>
              <w:t>GET</w:t>
            </w:r>
          </w:p>
        </w:tc>
        <w:tc>
          <w:tcPr>
            <w:tcW w:type="dxa" w:w="4500"/>
            <w:shd w:fill="FAFBFC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5"/>
              </w:rPr>
              <w:t>/api/version</w:t>
            </w:r>
          </w:p>
        </w:tc>
        <w:tc>
          <w:tcPr>
            <w:tcW w:type="dxa" w:w="2160"/>
            <w:shd w:fill="FAFBFC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5"/>
              </w:rPr>
              <w:t>查询API版本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PingFang SC" w:hAnsi="PingFang SC" w:eastAsia="PingFang SC" w:cs="PingFang SC"/>
          <w:b/>
          <w:color w:val="2E74B5"/>
          <w:sz w:val="32"/>
        </w:rPr>
        <w:t>附录B 功能与源代码对应关系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600"/>
        <w:gridCol w:w="36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PingFang SC" w:hAnsi="PingFang SC" w:eastAsia="PingFang SC" w:cs="PingFang SC"/>
                <w:b/>
                <w:color w:val="1F4D78"/>
                <w:sz w:val="15"/>
              </w:rPr>
              <w:t>功能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PingFang SC" w:hAnsi="PingFang SC" w:eastAsia="PingFang SC" w:cs="PingFang SC"/>
                <w:b/>
                <w:color w:val="1F4D78"/>
                <w:sz w:val="15"/>
              </w:rPr>
              <w:t>源文件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PingFang SC" w:hAnsi="PingFang SC" w:eastAsia="PingFang SC" w:cs="PingFang SC"/>
                <w:b/>
                <w:color w:val="1F4D78"/>
                <w:sz w:val="15"/>
              </w:rPr>
              <w:t>对应说明</w:t>
            </w:r>
          </w:p>
        </w:tc>
      </w:tr>
      <w:tr>
        <w:tc>
          <w:tcPr>
            <w:tcW w:type="dxa" w:w="210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color w:val="172B3A"/>
                <w:sz w:val="15"/>
              </w:rPr>
              <w:t>应用启动与中间件</w:t>
            </w:r>
          </w:p>
        </w:tc>
        <w:tc>
          <w:tcPr>
            <w:tcW w:type="dxa" w:w="3600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5"/>
              </w:rPr>
              <w:t>backend/app.js</w:t>
            </w:r>
          </w:p>
        </w:tc>
        <w:tc>
          <w:tcPr>
            <w:tcW w:type="dxa" w:w="3660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5"/>
              </w:rPr>
              <w:t>环境校验、静态托管、路由、Session、管理员初始化、Socket.io启动</w:t>
            </w:r>
          </w:p>
        </w:tc>
      </w:tr>
      <w:tr>
        <w:tc>
          <w:tcPr>
            <w:tcW w:type="dxa" w:w="2100"/>
            <w:shd w:fill="FAFBFC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color w:val="172B3A"/>
                <w:sz w:val="15"/>
              </w:rPr>
              <w:t>全局配置</w:t>
            </w:r>
          </w:p>
        </w:tc>
        <w:tc>
          <w:tcPr>
            <w:tcW w:type="dxa" w:w="3600"/>
            <w:shd w:fill="FAFBFC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5"/>
              </w:rPr>
              <w:t>backend/config.js</w:t>
            </w:r>
          </w:p>
        </w:tc>
        <w:tc>
          <w:tcPr>
            <w:tcW w:type="dxa" w:w="3660"/>
            <w:shd w:fill="FAFBFC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5"/>
              </w:rPr>
              <w:t>端口、存储、Supervisor、日志和安全配置</w:t>
            </w:r>
          </w:p>
        </w:tc>
      </w:tr>
      <w:tr>
        <w:tc>
          <w:tcPr>
            <w:tcW w:type="dxa" w:w="210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color w:val="172B3A"/>
                <w:sz w:val="15"/>
              </w:rPr>
              <w:t>数据库初始化</w:t>
            </w:r>
          </w:p>
        </w:tc>
        <w:tc>
          <w:tcPr>
            <w:tcW w:type="dxa" w:w="3600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5"/>
              </w:rPr>
              <w:t>backend/init-db.js</w:t>
            </w:r>
          </w:p>
        </w:tc>
        <w:tc>
          <w:tcPr>
            <w:tcW w:type="dxa" w:w="3660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5"/>
              </w:rPr>
              <w:t>SQLite/MySQL表结构、角色初始化</w:t>
            </w:r>
          </w:p>
        </w:tc>
      </w:tr>
      <w:tr>
        <w:tc>
          <w:tcPr>
            <w:tcW w:type="dxa" w:w="2100"/>
            <w:shd w:fill="FAFBFC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color w:val="172B3A"/>
                <w:sz w:val="15"/>
              </w:rPr>
              <w:t>认证与权限</w:t>
            </w:r>
          </w:p>
        </w:tc>
        <w:tc>
          <w:tcPr>
            <w:tcW w:type="dxa" w:w="3600"/>
            <w:shd w:fill="FAFBFC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5"/>
              </w:rPr>
              <w:t>backend/middleware/auth.js</w:t>
            </w:r>
          </w:p>
        </w:tc>
        <w:tc>
          <w:tcPr>
            <w:tcW w:type="dxa" w:w="3660"/>
            <w:shd w:fill="FAFBFC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5"/>
              </w:rPr>
              <w:t>JWT/API Token认证、角色、机器与程序权限</w:t>
            </w:r>
          </w:p>
        </w:tc>
      </w:tr>
      <w:tr>
        <w:tc>
          <w:tcPr>
            <w:tcW w:type="dxa" w:w="210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color w:val="172B3A"/>
                <w:sz w:val="15"/>
              </w:rPr>
              <w:t>用户认证接口</w:t>
            </w:r>
          </w:p>
        </w:tc>
        <w:tc>
          <w:tcPr>
            <w:tcW w:type="dxa" w:w="3600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5"/>
              </w:rPr>
              <w:t>backend/routes/auth.js</w:t>
            </w:r>
          </w:p>
        </w:tc>
        <w:tc>
          <w:tcPr>
            <w:tcW w:type="dxa" w:w="3660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5"/>
              </w:rPr>
              <w:t>登录、当前用户、退出相关处理</w:t>
            </w:r>
          </w:p>
        </w:tc>
      </w:tr>
      <w:tr>
        <w:tc>
          <w:tcPr>
            <w:tcW w:type="dxa" w:w="2100"/>
            <w:shd w:fill="FAFBFC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color w:val="172B3A"/>
                <w:sz w:val="15"/>
              </w:rPr>
              <w:t>机器管理</w:t>
            </w:r>
          </w:p>
        </w:tc>
        <w:tc>
          <w:tcPr>
            <w:tcW w:type="dxa" w:w="3600"/>
            <w:shd w:fill="FAFBFC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5"/>
              </w:rPr>
              <w:t>backend/routes/projects.js</w:t>
            </w:r>
          </w:p>
        </w:tc>
        <w:tc>
          <w:tcPr>
            <w:tcW w:type="dxa" w:w="3660"/>
            <w:shd w:fill="FAFBFC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5"/>
              </w:rPr>
              <w:t>机器CRUD、连接状态、分组设置</w:t>
            </w:r>
          </w:p>
        </w:tc>
      </w:tr>
      <w:tr>
        <w:tc>
          <w:tcPr>
            <w:tcW w:type="dxa" w:w="210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color w:val="172B3A"/>
                <w:sz w:val="15"/>
              </w:rPr>
              <w:t>分组管理</w:t>
            </w:r>
          </w:p>
        </w:tc>
        <w:tc>
          <w:tcPr>
            <w:tcW w:type="dxa" w:w="3600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5"/>
              </w:rPr>
              <w:t>backend/routes/groups.js</w:t>
            </w:r>
          </w:p>
        </w:tc>
        <w:tc>
          <w:tcPr>
            <w:tcW w:type="dxa" w:w="3660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5"/>
              </w:rPr>
              <w:t>分组CRUD及分组机器查询</w:t>
            </w:r>
          </w:p>
        </w:tc>
      </w:tr>
      <w:tr>
        <w:tc>
          <w:tcPr>
            <w:tcW w:type="dxa" w:w="2100"/>
            <w:shd w:fill="FAFBFC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color w:val="172B3A"/>
                <w:sz w:val="15"/>
              </w:rPr>
              <w:t>进程与日志接口</w:t>
            </w:r>
          </w:p>
        </w:tc>
        <w:tc>
          <w:tcPr>
            <w:tcW w:type="dxa" w:w="3600"/>
            <w:shd w:fill="FAFBFC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5"/>
              </w:rPr>
              <w:t>backend/routes/programs.js</w:t>
            </w:r>
          </w:p>
        </w:tc>
        <w:tc>
          <w:tcPr>
            <w:tcW w:type="dxa" w:w="3660"/>
            <w:shd w:fill="FAFBFC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5"/>
              </w:rPr>
              <w:t>列表、详情、启停重启、批量、日志和重载</w:t>
            </w:r>
          </w:p>
        </w:tc>
      </w:tr>
      <w:tr>
        <w:tc>
          <w:tcPr>
            <w:tcW w:type="dxa" w:w="210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color w:val="172B3A"/>
                <w:sz w:val="15"/>
              </w:rPr>
              <w:t>用户与权限</w:t>
            </w:r>
          </w:p>
        </w:tc>
        <w:tc>
          <w:tcPr>
            <w:tcW w:type="dxa" w:w="3600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5"/>
              </w:rPr>
              <w:t>backend/routes/users.js</w:t>
            </w:r>
          </w:p>
        </w:tc>
        <w:tc>
          <w:tcPr>
            <w:tcW w:type="dxa" w:w="3660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5"/>
              </w:rPr>
              <w:t>用户、角色、密码、上级关系、资源权限</w:t>
            </w:r>
          </w:p>
        </w:tc>
      </w:tr>
      <w:tr>
        <w:tc>
          <w:tcPr>
            <w:tcW w:type="dxa" w:w="2100"/>
            <w:shd w:fill="FAFBFC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color w:val="172B3A"/>
                <w:sz w:val="15"/>
              </w:rPr>
              <w:t>服务令牌</w:t>
            </w:r>
          </w:p>
        </w:tc>
        <w:tc>
          <w:tcPr>
            <w:tcW w:type="dxa" w:w="3600"/>
            <w:shd w:fill="FAFBFC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5"/>
              </w:rPr>
              <w:t>backend/routes/apiTokens.js</w:t>
            </w:r>
          </w:p>
        </w:tc>
        <w:tc>
          <w:tcPr>
            <w:tcW w:type="dxa" w:w="3660"/>
            <w:shd w:fill="FAFBFC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5"/>
              </w:rPr>
              <w:t>令牌创建、查询、撤销和审计查询</w:t>
            </w:r>
          </w:p>
        </w:tc>
      </w:tr>
      <w:tr>
        <w:tc>
          <w:tcPr>
            <w:tcW w:type="dxa" w:w="210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color w:val="172B3A"/>
                <w:sz w:val="15"/>
              </w:rPr>
              <w:t>Supervisor适配</w:t>
            </w:r>
          </w:p>
        </w:tc>
        <w:tc>
          <w:tcPr>
            <w:tcW w:type="dxa" w:w="3600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5"/>
              </w:rPr>
              <w:t>backend/services/supervisorService.js</w:t>
            </w:r>
          </w:p>
        </w:tc>
        <w:tc>
          <w:tcPr>
            <w:tcW w:type="dxa" w:w="3660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5"/>
              </w:rPr>
              <w:t>XML-RPC调用、进程缓存、日志读取</w:t>
            </w:r>
          </w:p>
        </w:tc>
      </w:tr>
      <w:tr>
        <w:tc>
          <w:tcPr>
            <w:tcW w:type="dxa" w:w="2100"/>
            <w:shd w:fill="FAFBFC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color w:val="172B3A"/>
                <w:sz w:val="15"/>
              </w:rPr>
              <w:t>实时日志</w:t>
            </w:r>
          </w:p>
        </w:tc>
        <w:tc>
          <w:tcPr>
            <w:tcW w:type="dxa" w:w="3600"/>
            <w:shd w:fill="FAFBFC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5"/>
              </w:rPr>
              <w:t>backend/services/socketServer.js</w:t>
            </w:r>
          </w:p>
        </w:tc>
        <w:tc>
          <w:tcPr>
            <w:tcW w:type="dxa" w:w="3660"/>
            <w:shd w:fill="FAFBFC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5"/>
              </w:rPr>
              <w:t>Socket.io连接、日志偏移、推送和自适应轮询</w:t>
            </w:r>
          </w:p>
        </w:tc>
      </w:tr>
      <w:tr>
        <w:tc>
          <w:tcPr>
            <w:tcW w:type="dxa" w:w="210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color w:val="172B3A"/>
                <w:sz w:val="15"/>
              </w:rPr>
              <w:t>SQLite实现</w:t>
            </w:r>
          </w:p>
        </w:tc>
        <w:tc>
          <w:tcPr>
            <w:tcW w:type="dxa" w:w="3600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5"/>
              </w:rPr>
              <w:t>backend/models/db.sqlite.js</w:t>
            </w:r>
          </w:p>
        </w:tc>
        <w:tc>
          <w:tcPr>
            <w:tcW w:type="dxa" w:w="3660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5"/>
              </w:rPr>
              <w:t>SQLite数据访问方法</w:t>
            </w:r>
          </w:p>
        </w:tc>
      </w:tr>
      <w:tr>
        <w:tc>
          <w:tcPr>
            <w:tcW w:type="dxa" w:w="2100"/>
            <w:shd w:fill="FAFBFC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color w:val="172B3A"/>
                <w:sz w:val="15"/>
              </w:rPr>
              <w:t>MySQL实现</w:t>
            </w:r>
          </w:p>
        </w:tc>
        <w:tc>
          <w:tcPr>
            <w:tcW w:type="dxa" w:w="3600"/>
            <w:shd w:fill="FAFBFC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5"/>
              </w:rPr>
              <w:t>backend/models/db.mysql.js</w:t>
            </w:r>
          </w:p>
        </w:tc>
        <w:tc>
          <w:tcPr>
            <w:tcW w:type="dxa" w:w="3660"/>
            <w:shd w:fill="FAFBFC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5"/>
              </w:rPr>
              <w:t>MySQL数据访问方法</w:t>
            </w:r>
          </w:p>
        </w:tc>
      </w:tr>
      <w:tr>
        <w:tc>
          <w:tcPr>
            <w:tcW w:type="dxa" w:w="210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color w:val="172B3A"/>
                <w:sz w:val="15"/>
              </w:rPr>
              <w:t>加密与令牌</w:t>
            </w:r>
          </w:p>
        </w:tc>
        <w:tc>
          <w:tcPr>
            <w:tcW w:type="dxa" w:w="3600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5"/>
              </w:rPr>
              <w:t>backend/utils/crypto.js / apiToken.js</w:t>
            </w:r>
          </w:p>
        </w:tc>
        <w:tc>
          <w:tcPr>
            <w:tcW w:type="dxa" w:w="3660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5"/>
              </w:rPr>
              <w:t>Supervisor密码加解密、服务令牌生成与摘要</w:t>
            </w:r>
          </w:p>
        </w:tc>
      </w:tr>
      <w:tr>
        <w:tc>
          <w:tcPr>
            <w:tcW w:type="dxa" w:w="2100"/>
            <w:shd w:fill="FAFBFC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color w:val="172B3A"/>
                <w:sz w:val="15"/>
              </w:rPr>
              <w:t>前端路由</w:t>
            </w:r>
          </w:p>
        </w:tc>
        <w:tc>
          <w:tcPr>
            <w:tcW w:type="dxa" w:w="3600"/>
            <w:shd w:fill="FAFBFC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5"/>
              </w:rPr>
              <w:t>client/src/App.jsx</w:t>
            </w:r>
          </w:p>
        </w:tc>
        <w:tc>
          <w:tcPr>
            <w:tcW w:type="dxa" w:w="3660"/>
            <w:shd w:fill="FAFBFC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5"/>
              </w:rPr>
              <w:t>认证上下文、受保护路由和页面入口</w:t>
            </w:r>
          </w:p>
        </w:tc>
      </w:tr>
      <w:tr>
        <w:tc>
          <w:tcPr>
            <w:tcW w:type="dxa" w:w="210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color w:val="172B3A"/>
                <w:sz w:val="15"/>
              </w:rPr>
              <w:t>登录页面</w:t>
            </w:r>
          </w:p>
        </w:tc>
        <w:tc>
          <w:tcPr>
            <w:tcW w:type="dxa" w:w="3600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5"/>
              </w:rPr>
              <w:t>client/src/pages/LoginPage.jsx</w:t>
            </w:r>
          </w:p>
        </w:tc>
        <w:tc>
          <w:tcPr>
            <w:tcW w:type="dxa" w:w="3660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5"/>
              </w:rPr>
              <w:t>登录表单和错误反馈</w:t>
            </w:r>
          </w:p>
        </w:tc>
      </w:tr>
      <w:tr>
        <w:tc>
          <w:tcPr>
            <w:tcW w:type="dxa" w:w="2100"/>
            <w:shd w:fill="FAFBFC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color w:val="172B3A"/>
                <w:sz w:val="15"/>
              </w:rPr>
              <w:t>进程主面板</w:t>
            </w:r>
          </w:p>
        </w:tc>
        <w:tc>
          <w:tcPr>
            <w:tcW w:type="dxa" w:w="3600"/>
            <w:shd w:fill="FAFBFC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5"/>
              </w:rPr>
              <w:t>client/src/pages/ProgramsPage.jsx</w:t>
            </w:r>
          </w:p>
        </w:tc>
        <w:tc>
          <w:tcPr>
            <w:tcW w:type="dxa" w:w="3660"/>
            <w:shd w:fill="FAFBFC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5"/>
              </w:rPr>
              <w:t>资源树、统计、列表、搜索、控制和自动刷新</w:t>
            </w:r>
          </w:p>
        </w:tc>
      </w:tr>
      <w:tr>
        <w:tc>
          <w:tcPr>
            <w:tcW w:type="dxa" w:w="210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color w:val="172B3A"/>
                <w:sz w:val="15"/>
              </w:rPr>
              <w:t>进程详情</w:t>
            </w:r>
          </w:p>
        </w:tc>
        <w:tc>
          <w:tcPr>
            <w:tcW w:type="dxa" w:w="3600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5"/>
              </w:rPr>
              <w:t>client/src/pages/ProgramDetailPage.jsx</w:t>
            </w:r>
          </w:p>
        </w:tc>
        <w:tc>
          <w:tcPr>
            <w:tcW w:type="dxa" w:w="3660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5"/>
              </w:rPr>
              <w:t>进程详情与日志抽屉</w:t>
            </w:r>
          </w:p>
        </w:tc>
      </w:tr>
      <w:tr>
        <w:tc>
          <w:tcPr>
            <w:tcW w:type="dxa" w:w="2100"/>
            <w:shd w:fill="FAFBFC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color w:val="172B3A"/>
                <w:sz w:val="15"/>
              </w:rPr>
              <w:t>日志终端</w:t>
            </w:r>
          </w:p>
        </w:tc>
        <w:tc>
          <w:tcPr>
            <w:tcW w:type="dxa" w:w="3600"/>
            <w:shd w:fill="FAFBFC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5"/>
              </w:rPr>
              <w:t>client/src/components/LogTerminal.jsx</w:t>
            </w:r>
          </w:p>
        </w:tc>
        <w:tc>
          <w:tcPr>
            <w:tcW w:type="dxa" w:w="3660"/>
            <w:shd w:fill="FAFBFC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5"/>
              </w:rPr>
              <w:t>xterm.js显示、暂停和Socket.io日志</w:t>
            </w:r>
          </w:p>
        </w:tc>
      </w:tr>
      <w:tr>
        <w:tc>
          <w:tcPr>
            <w:tcW w:type="dxa" w:w="210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color w:val="172B3A"/>
                <w:sz w:val="15"/>
              </w:rPr>
              <w:t>用户管理</w:t>
            </w:r>
          </w:p>
        </w:tc>
        <w:tc>
          <w:tcPr>
            <w:tcW w:type="dxa" w:w="3600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5"/>
              </w:rPr>
              <w:t>client/src/pages/UsersPage.jsx</w:t>
            </w:r>
          </w:p>
        </w:tc>
        <w:tc>
          <w:tcPr>
            <w:tcW w:type="dxa" w:w="3660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5"/>
              </w:rPr>
              <w:t>用户分组、筛选和管理</w:t>
            </w:r>
          </w:p>
        </w:tc>
      </w:tr>
      <w:tr>
        <w:tc>
          <w:tcPr>
            <w:tcW w:type="dxa" w:w="2100"/>
            <w:shd w:fill="FAFBFC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color w:val="172B3A"/>
                <w:sz w:val="15"/>
              </w:rPr>
              <w:t>权限编辑</w:t>
            </w:r>
          </w:p>
        </w:tc>
        <w:tc>
          <w:tcPr>
            <w:tcW w:type="dxa" w:w="3600"/>
            <w:shd w:fill="FAFBFC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5"/>
              </w:rPr>
              <w:t>client/src/components/users/*</w:t>
            </w:r>
          </w:p>
        </w:tc>
        <w:tc>
          <w:tcPr>
            <w:tcW w:type="dxa" w:w="3660"/>
            <w:shd w:fill="FAFBFC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5"/>
              </w:rPr>
              <w:t>用户表格、表单和资源权限配置</w:t>
            </w:r>
          </w:p>
        </w:tc>
      </w:tr>
      <w:tr>
        <w:tc>
          <w:tcPr>
            <w:tcW w:type="dxa" w:w="210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color w:val="172B3A"/>
                <w:sz w:val="15"/>
              </w:rPr>
              <w:t>API封装</w:t>
            </w:r>
          </w:p>
        </w:tc>
        <w:tc>
          <w:tcPr>
            <w:tcW w:type="dxa" w:w="3600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5"/>
              </w:rPr>
              <w:t>client/src/utils/api.js</w:t>
            </w:r>
          </w:p>
        </w:tc>
        <w:tc>
          <w:tcPr>
            <w:tcW w:type="dxa" w:w="3660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5"/>
              </w:rPr>
              <w:t>统一HTTP请求和接口函数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PingFang SC" w:hAnsi="PingFang SC" w:eastAsia="PingFang SC" w:cs="PingFang SC"/>
          <w:b/>
          <w:color w:val="2E74B5"/>
          <w:sz w:val="32"/>
        </w:rPr>
        <w:t>附录C 界面视图清单</w:t>
      </w:r>
    </w:p>
    <w:p>
      <w:pPr>
        <w:spacing w:after="120" w:line="300" w:lineRule="auto"/>
        <w:ind w:firstLine="420"/>
        <w:jc w:val="both"/>
      </w:pPr>
      <w:r>
        <w:rPr>
          <w:rFonts w:ascii="宋体" w:hAnsi="宋体" w:eastAsia="宋体" w:cs="宋体"/>
          <w:color w:val="172B3A"/>
          <w:sz w:val="22"/>
        </w:rPr>
        <w:t>系统各界面的构成与主要交互元素如下：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300"/>
        <w:gridCol w:w="41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PingFang SC" w:hAnsi="PingFang SC" w:eastAsia="PingFang SC" w:cs="PingFang SC"/>
                <w:b/>
                <w:color w:val="1F4D78"/>
                <w:sz w:val="17"/>
              </w:rPr>
              <w:t>界面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PingFang SC" w:hAnsi="PingFang SC" w:eastAsia="PingFang SC" w:cs="PingFang SC"/>
                <w:b/>
                <w:color w:val="1F4D78"/>
                <w:sz w:val="17"/>
              </w:rPr>
              <w:t>主要构成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PingFang SC" w:hAnsi="PingFang SC" w:eastAsia="PingFang SC" w:cs="PingFang SC"/>
                <w:b/>
                <w:color w:val="1F4D78"/>
                <w:sz w:val="17"/>
              </w:rPr>
              <w:t>核心交互</w:t>
            </w:r>
          </w:p>
        </w:tc>
      </w:tr>
      <w:tr>
        <w:tc>
          <w:tcPr>
            <w:tcW w:type="dxa" w:w="190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color w:val="172B3A"/>
                <w:sz w:val="17"/>
              </w:rPr>
              <w:t>登录页</w:t>
            </w:r>
          </w:p>
        </w:tc>
        <w:tc>
          <w:tcPr>
            <w:tcW w:type="dxa" w:w="3300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7"/>
              </w:rPr>
              <w:t>软件标识、用户名/密码表单</w:t>
            </w:r>
          </w:p>
        </w:tc>
        <w:tc>
          <w:tcPr>
            <w:tcW w:type="dxa" w:w="4160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7"/>
              </w:rPr>
              <w:t>登录校验、失败提示、跳转主面板</w:t>
            </w:r>
          </w:p>
        </w:tc>
      </w:tr>
      <w:tr>
        <w:tc>
          <w:tcPr>
            <w:tcW w:type="dxa" w:w="1900"/>
            <w:shd w:fill="FAFBFC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color w:val="172B3A"/>
                <w:sz w:val="17"/>
              </w:rPr>
              <w:t>进程管理主面板</w:t>
            </w:r>
          </w:p>
        </w:tc>
        <w:tc>
          <w:tcPr>
            <w:tcW w:type="dxa" w:w="3300"/>
            <w:shd w:fill="FAFBFC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7"/>
              </w:rPr>
              <w:t>分组机器树、状态统计、进程列表与搜索</w:t>
            </w:r>
          </w:p>
        </w:tc>
        <w:tc>
          <w:tcPr>
            <w:tcW w:type="dxa" w:w="4160"/>
            <w:shd w:fill="FAFBFC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7"/>
              </w:rPr>
              <w:t>按分组/机器浏览进程、搜索、批量启停重启</w:t>
            </w:r>
          </w:p>
        </w:tc>
      </w:tr>
      <w:tr>
        <w:tc>
          <w:tcPr>
            <w:tcW w:type="dxa" w:w="190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color w:val="172B3A"/>
                <w:sz w:val="17"/>
              </w:rPr>
              <w:t>单机进程列表</w:t>
            </w:r>
          </w:p>
        </w:tc>
        <w:tc>
          <w:tcPr>
            <w:tcW w:type="dxa" w:w="3300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7"/>
              </w:rPr>
              <w:t>程序状态、运行时间、控制按钮</w:t>
            </w:r>
          </w:p>
        </w:tc>
        <w:tc>
          <w:tcPr>
            <w:tcW w:type="dxa" w:w="4160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7"/>
              </w:rPr>
              <w:t>启动/停止/重启单个进程、重载Supervisor配置</w:t>
            </w:r>
          </w:p>
        </w:tc>
      </w:tr>
      <w:tr>
        <w:tc>
          <w:tcPr>
            <w:tcW w:type="dxa" w:w="1900"/>
            <w:shd w:fill="FAFBFC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color w:val="172B3A"/>
                <w:sz w:val="17"/>
              </w:rPr>
              <w:t>实时日志窗口</w:t>
            </w:r>
          </w:p>
        </w:tc>
        <w:tc>
          <w:tcPr>
            <w:tcW w:type="dxa" w:w="3300"/>
            <w:shd w:fill="FAFBFC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7"/>
              </w:rPr>
              <w:t>stdout/stderr终端输出、暂停与复制控件</w:t>
            </w:r>
          </w:p>
        </w:tc>
        <w:tc>
          <w:tcPr>
            <w:tcW w:type="dxa" w:w="4160"/>
            <w:shd w:fill="FAFBFC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7"/>
              </w:rPr>
              <w:t>按偏移量增量推送日志、暂停滚动、复制内容</w:t>
            </w:r>
          </w:p>
        </w:tc>
      </w:tr>
      <w:tr>
        <w:tc>
          <w:tcPr>
            <w:tcW w:type="dxa" w:w="190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color w:val="172B3A"/>
                <w:sz w:val="17"/>
              </w:rPr>
              <w:t>机器管理弹窗</w:t>
            </w:r>
          </w:p>
        </w:tc>
        <w:tc>
          <w:tcPr>
            <w:tcW w:type="dxa" w:w="3300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7"/>
              </w:rPr>
              <w:t>机器信息、Supervisor连接配置、分组设置</w:t>
            </w:r>
          </w:p>
        </w:tc>
        <w:tc>
          <w:tcPr>
            <w:tcW w:type="dxa" w:w="4160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7"/>
              </w:rPr>
              <w:t>机器增删改、连接状态检查、分组调整</w:t>
            </w:r>
          </w:p>
        </w:tc>
      </w:tr>
      <w:tr>
        <w:tc>
          <w:tcPr>
            <w:tcW w:type="dxa" w:w="1900"/>
            <w:shd w:fill="FAFBFC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color w:val="172B3A"/>
                <w:sz w:val="17"/>
              </w:rPr>
              <w:t>用户管理页面</w:t>
            </w:r>
          </w:p>
        </w:tc>
        <w:tc>
          <w:tcPr>
            <w:tcW w:type="dxa" w:w="3300"/>
            <w:shd w:fill="FAFBFC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7"/>
              </w:rPr>
              <w:t>三级角色、上级管理员、用户列表</w:t>
            </w:r>
          </w:p>
        </w:tc>
        <w:tc>
          <w:tcPr>
            <w:tcW w:type="dxa" w:w="4160"/>
            <w:shd w:fill="FAFBFC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7"/>
              </w:rPr>
              <w:t>用户创建、角色分配、密码重置、禁用</w:t>
            </w:r>
          </w:p>
        </w:tc>
      </w:tr>
      <w:tr>
        <w:tc>
          <w:tcPr>
            <w:tcW w:type="dxa" w:w="190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color w:val="172B3A"/>
                <w:sz w:val="17"/>
              </w:rPr>
              <w:t>资源权限配置</w:t>
            </w:r>
          </w:p>
        </w:tc>
        <w:tc>
          <w:tcPr>
            <w:tcW w:type="dxa" w:w="3300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7"/>
              </w:rPr>
              <w:t>机器级与程序级权限设置</w:t>
            </w:r>
          </w:p>
        </w:tc>
        <w:tc>
          <w:tcPr>
            <w:tcW w:type="dxa" w:w="4160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7"/>
              </w:rPr>
              <w:t>按机器或单个程序授权、权限边界组合</w:t>
            </w:r>
          </w:p>
        </w:tc>
      </w:tr>
      <w:tr>
        <w:tc>
          <w:tcPr>
            <w:tcW w:type="dxa" w:w="1900"/>
            <w:shd w:fill="FAFBFC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color w:val="172B3A"/>
                <w:sz w:val="17"/>
              </w:rPr>
              <w:t>服务令牌管理</w:t>
            </w:r>
          </w:p>
        </w:tc>
        <w:tc>
          <w:tcPr>
            <w:tcW w:type="dxa" w:w="3300"/>
            <w:shd w:fill="FAFBFC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7"/>
              </w:rPr>
              <w:t>令牌名称、scope、到期与撤销状态</w:t>
            </w:r>
          </w:p>
        </w:tc>
        <w:tc>
          <w:tcPr>
            <w:tcW w:type="dxa" w:w="4160"/>
            <w:shd w:fill="FAFBFC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7"/>
              </w:rPr>
              <w:t>令牌创建/撤销，明文仅创建时展示一次</w:t>
            </w:r>
          </w:p>
        </w:tc>
      </w:tr>
      <w:tr>
        <w:tc>
          <w:tcPr>
            <w:tcW w:type="dxa" w:w="190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color w:val="172B3A"/>
                <w:sz w:val="17"/>
              </w:rPr>
              <w:t>API审计记录</w:t>
            </w:r>
          </w:p>
        </w:tc>
        <w:tc>
          <w:tcPr>
            <w:tcW w:type="dxa" w:w="3300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7"/>
              </w:rPr>
              <w:t>请求方法、路径、状态码、耗时与来源</w:t>
            </w:r>
          </w:p>
        </w:tc>
        <w:tc>
          <w:tcPr>
            <w:tcW w:type="dxa" w:w="4160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color w:val="172B3A"/>
                <w:sz w:val="17"/>
              </w:rPr>
              <w:t>服务API调用流水查询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PingFang SC" w:hAnsi="PingFang SC" w:eastAsia="PingFang SC" w:cs="PingFang SC"/>
          <w:b/>
          <w:color w:val="2E74B5"/>
          <w:sz w:val="32"/>
        </w:rPr>
        <w:t>结束语</w:t>
      </w:r>
    </w:p>
    <w:p>
      <w:pPr>
        <w:spacing w:after="120" w:line="300" w:lineRule="auto"/>
        <w:ind w:firstLine="420"/>
        <w:jc w:val="both"/>
      </w:pPr>
      <w:r>
        <w:rPr>
          <w:rFonts w:ascii="宋体" w:hAnsi="宋体" w:eastAsia="宋体" w:cs="宋体"/>
          <w:color w:val="172B3A"/>
          <w:sz w:val="22"/>
        </w:rPr>
        <w:t>SuperD通过Web化资源管理、三级角色与双粒度资源授权、XML-RPC进程控制、实时日志推送、短周期缓存和服务API安全机制，为多服务器Supervisor运维提供统一、可控和可扩展的管理平台。本说明书覆盖软件的技术设计和用户操作，可作为软件著作权登记中的文档鉴别材料。</w:t>
      </w:r>
    </w:p>
    <w:sectPr w:rsidR="00FC693F" w:rsidRPr="0006063C" w:rsidSect="00034616">
      <w:headerReference w:type="default" r:id="rId11"/>
      <w:footerReference w:type="default" r:id="rId12"/>
      <w:pgSz w:w="11906" w:h="16838"/>
      <w:pgMar w:top="1134" w:right="1273" w:bottom="1134" w:left="1273" w:header="706" w:footer="706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60"/>
      <w:jc w:val="center"/>
    </w:pPr>
    <w:r>
      <w:rPr>
        <w:rFonts w:ascii="宋体" w:hAnsi="宋体" w:eastAsia="宋体" w:cs="宋体"/>
        <w:color w:val="5F6B76"/>
        <w:sz w:val="17"/>
      </w:rPr>
      <w:t>北京胤康科技有限公司 | 软件著作权登记技术文档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</w:pPr>
    <w:r/>
  </w:p>
  <w:tbl>
    <w:tblPr>
      <w:tblStyle w:val="TableGrid"/>
      <w:tblW w:type="dxa" w:w="9360"/>
      <w:tblLayout w:type="fixed"/>
      <w:tblLook w:firstColumn="1" w:firstRow="1" w:lastColumn="0" w:lastRow="0" w:noHBand="0" w:noVBand="1" w:val="04A0"/>
      <w:tblInd w:w="0" w:type="dxa"/>
    </w:tblPr>
    <w:tblGrid>
      <w:gridCol w:w="7100"/>
      <w:gridCol w:w="2260"/>
    </w:tblGrid>
    <w:tr>
      <w:tc>
        <w:tcPr>
          <w:tcW w:type="dxa" w:w="7100"/>
          <w:tcMar>
            <w:top w:w="80" w:type="dxa"/>
            <w:start w:w="120" w:type="dxa"/>
            <w:bottom w:w="80" w:type="dxa"/>
            <w:end w:w="120" w:type="dxa"/>
          </w:tcMar>
          <w:vAlign w:val="center"/>
          <w:shd w:fill="FFFFFF"/>
          <w:tcBorders>
            <w:top w:val="nil"/>
            <w:left w:val="nil"/>
            <w:right w:val="nil"/>
            <w:insideH w:val="nil"/>
            <w:insideV w:val="nil"/>
            <w:bottom w:val="single" w:sz="4" w:color="B9C7D3"/>
          </w:tcBorders>
        </w:tcPr>
        <w:p>
          <w:pPr>
            <w:jc w:val="left"/>
          </w:pPr>
          <w:r>
            <w:rPr>
              <w:rFonts w:ascii="宋体" w:hAnsi="宋体" w:eastAsia="宋体" w:cs="宋体"/>
              <w:b/>
              <w:color w:val="5F6B76"/>
              <w:sz w:val="18"/>
            </w:rPr>
            <w:t>SuperD Supervisor进程管理平台软件 V1.0</w:t>
          </w:r>
        </w:p>
      </w:tc>
      <w:tc>
        <w:tcPr>
          <w:tcW w:type="dxa" w:w="2260"/>
          <w:tcMar>
            <w:top w:w="80" w:type="dxa"/>
            <w:start w:w="120" w:type="dxa"/>
            <w:bottom w:w="80" w:type="dxa"/>
            <w:end w:w="120" w:type="dxa"/>
          </w:tcMar>
          <w:vAlign w:val="center"/>
          <w:shd w:fill="FFFFFF"/>
          <w:tcBorders>
            <w:top w:val="nil"/>
            <w:left w:val="nil"/>
            <w:right w:val="nil"/>
            <w:insideH w:val="nil"/>
            <w:insideV w:val="nil"/>
            <w:bottom w:val="single" w:sz="4" w:color="B9C7D3"/>
          </w:tcBorders>
        </w:tcPr>
        <w:p>
          <w:pPr>
            <w:jc w:val="right"/>
          </w:pPr>
          <w:r>
            <w:rPr>
              <w:rFonts w:ascii="宋体" w:hAnsi="宋体" w:eastAsia="宋体" w:cs="宋体"/>
              <w:color w:val="5F6B76"/>
              <w:sz w:val="18"/>
            </w:rPr>
            <w:t xml:space="preserve">第 </w:t>
          </w:r>
          <w:r>
            <w:rPr>
              <w:rFonts w:ascii="宋体" w:hAnsi="宋体" w:eastAsia="宋体" w:cs="宋体"/>
              <w:color w:val="5F6B76"/>
              <w:sz w:val="18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  <w:r>
            <w:rPr>
              <w:rFonts w:ascii="宋体" w:hAnsi="宋体" w:eastAsia="宋体" w:cs="宋体"/>
              <w:color w:val="5F6B76"/>
              <w:sz w:val="18"/>
            </w:rPr>
            <w:t xml:space="preserve"> 页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3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30">
    <w:abstractNumId w:val="30"/>
  </w:num>
  <w:abstractNum w:abstractNumId="31">
    <w:multiLevelType w:val="singleLevel"/>
    <w:lvl w:ilvl="0">
      <w:numFmt w:val="bullet"/>
      <w:lvlText w:val="●"/>
      <w:pPr>
        <w:tabs>
          <w:tab w:val="num" w:pos="540"/>
        </w:tabs>
        <w:ind w:left="540" w:hanging="270"/>
        <w:spacing w:after="80" w:line="300" w:lineRule="auto"/>
      </w:pPr>
    </w:lvl>
  </w:abstractNum>
  <w:num w:numId="31">
    <w:abstractNumId w:val="31"/>
  </w:num>
  <w:num w:numId="41">
    <w:abstractNumId w:val="30"/>
    <w:lvlOverride w:ilvl="0">
      <w:startOverride w:val="1"/>
    </w:lvlOverride>
  </w:num>
  <w:num w:numId="42">
    <w:abstractNumId w:val="30"/>
    <w:lvlOverride w:ilvl="0">
      <w:startOverride w:val="1"/>
    </w:lvlOverride>
  </w:num>
  <w:num w:numId="43">
    <w:abstractNumId w:val="30"/>
    <w:lvlOverride w:ilvl="0">
      <w:startOverride w:val="1"/>
    </w:lvlOverride>
  </w:num>
  <w:num w:numId="44">
    <w:abstractNumId w:val="30"/>
    <w:lvlOverride w:ilvl="0">
      <w:startOverride w:val="1"/>
    </w:lvlOverride>
  </w:num>
  <w:num w:numId="45">
    <w:abstractNumId w:val="30"/>
    <w:lvlOverride w:ilvl="0">
      <w:startOverride w:val="1"/>
    </w:lvlOverride>
  </w:num>
  <w:num w:numId="46">
    <w:abstractNumId w:val="30"/>
    <w:lvlOverride w:ilvl="0">
      <w:startOverride w:val="1"/>
    </w:lvlOverride>
  </w:num>
  <w:num w:numId="47">
    <w:abstractNumId w:val="30"/>
    <w:lvlOverride w:ilvl="0">
      <w:startOverride w:val="1"/>
    </w:lvlOverride>
  </w:num>
  <w:num w:numId="48">
    <w:abstractNumId w:val="3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宋体" w:hAnsi="宋体" w:eastAsia="宋体"/>
      <w:color w:val="172B3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PingFang SC" w:hAnsi="PingFang SC" w:eastAsia="PingFang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PingFang SC" w:hAnsi="PingFang SC" w:eastAsia="PingFang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PingFang SC" w:hAnsi="PingFang SC" w:eastAsia="PingFang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 w:before="0"/>
      <w:contextualSpacing/>
      <w:jc w:val="center"/>
    </w:pPr>
    <w:rPr>
      <w:rFonts w:asciiTheme="majorHAnsi" w:eastAsiaTheme="majorEastAsia" w:hAnsiTheme="majorHAnsi" w:cstheme="majorBidi" w:ascii="PingFang SC" w:hAnsi="PingFang SC" w:eastAsia="PingFang SC"/>
      <w:b/>
      <w:color w:val="1F4D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 w:ascii="PingFang SC" w:hAnsi="PingFang SC" w:eastAsia="PingFang SC"/>
      <w:i/>
      <w:iCs/>
      <w:color w:val="5F6B76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SuperD Supervisor进程管理平台软件 V1.0 软件著作权登记说明书</dc:title>
  <dc:subject>计算机软件著作权登记文档鉴别材料</dc:subject>
  <dc:creator>北京胤康科技有限公司</dc:creator>
  <cp:keywords>SuperD, Supervisor, 进程管理, 软件著作权</cp:keywords>
  <dc:description>基于项目仓库生成；提交前需核定申请人主体信息。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