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F63F8">
      <w:pPr>
        <w:jc w:val="center"/>
      </w:pPr>
      <w:r>
        <w:rPr>
          <w:b/>
          <w:sz w:val="32"/>
        </w:rPr>
        <w:t>Saudi Arabia Apparel: Consumer Demographic Segmentation &amp; Preference Signals</w:t>
      </w:r>
    </w:p>
    <w:p w14:paraId="5F8101AF">
      <w:r>
        <w:t>Scope: A1-1 age cohorts, A1-2 city tier differences (Riyadh/Jeddah/Dammam vs. smaller cities), A1-3 life-stage (single/newly married/parents), A1-4 nationals vs expatriates. Focus is apparel/modest fashion signals usable as RAG corpus units.</w:t>
      </w:r>
    </w:p>
    <w:p w14:paraId="117320DA">
      <w:r>
        <w:rPr>
          <w:b/>
        </w:rPr>
        <w:t>Key public sources used in this draft:</w:t>
      </w:r>
    </w:p>
    <w:p w14:paraId="6B351FC2">
      <w:pPr>
        <w:pStyle w:val="16"/>
      </w:pPr>
      <w:r>
        <w:t>Saudi Fashion Commission – The State of Fashion Sector in Saudi Arabia (2024) (PDF)</w:t>
      </w:r>
    </w:p>
    <w:p w14:paraId="33670A6D">
      <w:pPr>
        <w:pStyle w:val="16"/>
      </w:pPr>
      <w:r>
        <w:t>McKinsey – Meet the new Saudi consumer: Ten trends shaping a fast-evolving market (Sep 2025) (PDF)</w:t>
      </w:r>
    </w:p>
    <w:p w14:paraId="27AB387F">
      <w:pPr>
        <w:pStyle w:val="16"/>
      </w:pPr>
      <w:r>
        <w:t>Trade / expat-facing guidance (e.g., Expat Focus) for qualitative region &amp; dress-code differences</w:t>
      </w:r>
    </w:p>
    <w:p w14:paraId="69D21D4F">
      <w:pPr>
        <w:pStyle w:val="16"/>
      </w:pPr>
      <w:r>
        <w:t>Your existing V1 corpus page for baseline context (Notion page).</w:t>
      </w:r>
    </w:p>
    <w:p w14:paraId="40D49F47"/>
    <w:p w14:paraId="5B68BFF1">
      <w:r>
        <w:rPr>
          <w:b/>
          <w:sz w:val="28"/>
        </w:rPr>
        <w:t>1. Executive takeaways (for selection/marketing)</w:t>
      </w:r>
    </w:p>
    <w:p w14:paraId="77168FCC">
      <w:pPr>
        <w:pStyle w:val="16"/>
      </w:pPr>
      <w:r>
        <w:t>Saudi fashion growth is driven by a young population, rising GDP per capita, and expanding expatriate base; the 2024 sector report highlights population growth toward 40M by 2030 and notes expatriates as a meaningful share of incremental population.</w:t>
      </w:r>
    </w:p>
    <w:p w14:paraId="1685917E">
      <w:pPr>
        <w:pStyle w:val="16"/>
      </w:pPr>
      <w:r>
        <w:t>City-level differences matter operationally: Riyadh (capital, corporate) tends to skew more “polished/workwear/understated luxury”; Jeddah (coastal, more cosmopolitan) allows slightly more relaxed and fashion-forward expressions; Dammam/Eastern Province often retains more traditional/functional preferences. (Qualitative but consistently mentioned across travel/expat and lifestyle sources.)</w:t>
      </w:r>
    </w:p>
    <w:p w14:paraId="6FF53C57">
      <w:pPr>
        <w:pStyle w:val="16"/>
      </w:pPr>
      <w:r>
        <w:t>Life-stage is a strong driver for category mix: parents over-index on childrenswear, easy-care fabrics, and coordinated family looks (mother–daughter, father–son) especially around Eid seasons.</w:t>
      </w:r>
    </w:p>
    <w:p w14:paraId="2909A0C5">
      <w:pPr>
        <w:pStyle w:val="16"/>
      </w:pPr>
      <w:r>
        <w:t>Expat vs national: expats may keep some international shopping habits for luxury/occasion wear, but everyday apparel, kidswear, beauty, and sportswear purchases increasingly shift local due to convenience and availability; this creates demand for global sizing, contemporary silhouettes, and multi-lingual product information.</w:t>
      </w:r>
    </w:p>
    <w:p w14:paraId="18DB340B">
      <w:r>
        <w:rPr>
          <w:b/>
          <w:sz w:val="28"/>
        </w:rPr>
        <w:t>2. A1-1 Age cohort preference map (18–24 / 25–34 / 35–44 / 45+)</w:t>
      </w:r>
    </w:p>
    <w:p w14:paraId="604D1333">
      <w:r>
        <w:t>Note: Saudi-specific, apparel-only cohort metrics (AOV/repurchase) are often behind paywalls. For RAG, we therefore combine: (1) public KSA reports (macro + demographic), (2) platform behavior signals you already track (search trends, ecom growth), and (3) qualitative cohort archetypes that can be validated later with paid datasets (Statista Consumer Insights, YouGov panels, etc.).</w:t>
      </w:r>
    </w:p>
    <w:p w14:paraId="06ABC67D">
      <w:r>
        <w:rPr>
          <w:b/>
          <w:sz w:val="24"/>
        </w:rPr>
        <w:t>2.1 18–24 (Gen Z / students / early career)</w:t>
      </w:r>
    </w:p>
    <w:p w14:paraId="2421E6F0">
      <w:pPr>
        <w:pStyle w:val="16"/>
      </w:pPr>
      <w:r>
        <w:t>Style orientation: higher willingness to adopt colored/open abayas, athleisure, and social-media driven looks; higher experimentation with accessories and statement details (hardware, embroidery, contrast trims).</w:t>
      </w:r>
    </w:p>
    <w:p w14:paraId="53281F71">
      <w:pPr>
        <w:pStyle w:val="16"/>
      </w:pPr>
      <w:r>
        <w:t>Shopping behavior: mobile-first discovery; heavy influence from TikTok/Instagram creators; more promo-sensitive; higher likelihood to try secondhand/pre-loved for sustainability + price reasons.</w:t>
      </w:r>
    </w:p>
    <w:p w14:paraId="43FA3F50">
      <w:pPr>
        <w:pStyle w:val="16"/>
      </w:pPr>
      <w:r>
        <w:t>Product attributes that convert: “trend + modest compliance” (coverage without looking overly traditional), breathable fabrics for heat, and easy styling sets (pre-matched hijab+abaya, 2-piece sets).</w:t>
      </w:r>
    </w:p>
    <w:p w14:paraId="3940482F">
      <w:r>
        <w:rPr>
          <w:b/>
          <w:sz w:val="24"/>
        </w:rPr>
        <w:t>2.2 25–34 (young professionals / newly married)</w:t>
      </w:r>
    </w:p>
    <w:p w14:paraId="69D2B1DE">
      <w:pPr>
        <w:pStyle w:val="16"/>
      </w:pPr>
      <w:r>
        <w:t>Style orientation: balance between modern minimalism and premium finishing; stronger demand for office-appropriate modest workwear; interest in functional textiles (anti-odor, anti-wrinkle).</w:t>
      </w:r>
    </w:p>
    <w:p w14:paraId="241FE18B">
      <w:pPr>
        <w:pStyle w:val="16"/>
      </w:pPr>
      <w:r>
        <w:t>Shopping behavior: time-poor; values “one outfit multiple occasions”; BNPL adoption tends to be high in GCC for mid-ticket purchases; responds to quality signals and clear sizing/return policies.</w:t>
      </w:r>
    </w:p>
    <w:p w14:paraId="55EA8CF0">
      <w:pPr>
        <w:pStyle w:val="16"/>
      </w:pPr>
      <w:r>
        <w:t>Hero SKUs: structured abaya (clean lines), high-quality hijabs (chiffon/satin), neutral palettes (black + deep solids), and versatile sets for work + family gatherings.</w:t>
      </w:r>
    </w:p>
    <w:p w14:paraId="29EC84A5">
      <w:r>
        <w:rPr>
          <w:b/>
          <w:sz w:val="24"/>
        </w:rPr>
        <w:t>2.3 35–44 (established career / family managers)</w:t>
      </w:r>
    </w:p>
    <w:p w14:paraId="7CC59FBF">
      <w:pPr>
        <w:pStyle w:val="16"/>
      </w:pPr>
      <w:r>
        <w:t>Style orientation: pragmatic elegance; preference for quality, durability, and conservative fit; more spending power but expects value in fabric and construction.</w:t>
      </w:r>
    </w:p>
    <w:p w14:paraId="467B0FB7">
      <w:pPr>
        <w:pStyle w:val="16"/>
      </w:pPr>
      <w:r>
        <w:t>Category mix: higher childrenswear share; prefers easy-care fabrics (anti-wrinkle, colorfast black), and comfortable modest silhouettes (looser, softer drape).</w:t>
      </w:r>
    </w:p>
    <w:p w14:paraId="2B5F58A1">
      <w:pPr>
        <w:pStyle w:val="16"/>
      </w:pPr>
      <w:r>
        <w:t>Messaging angle: “quality you can feel”, “easy to care”, “appropriate for family occasions”, “premium fabric / craftsmanship”.</w:t>
      </w:r>
    </w:p>
    <w:p w14:paraId="04BBAFF6">
      <w:r>
        <w:rPr>
          <w:b/>
          <w:sz w:val="24"/>
        </w:rPr>
        <w:t>2.4 45+ (traditional / formal-occasion heavy)</w:t>
      </w:r>
    </w:p>
    <w:p w14:paraId="433087C3">
      <w:pPr>
        <w:pStyle w:val="16"/>
      </w:pPr>
      <w:r>
        <w:t>Style orientation: stronger preference for traditional silhouettes and classic black abayas; formal/ceremonial attire remains important (Eid, weddings).</w:t>
      </w:r>
    </w:p>
    <w:p w14:paraId="00FDFF31">
      <w:pPr>
        <w:pStyle w:val="16"/>
      </w:pPr>
      <w:r>
        <w:t>Shopping behavior: higher offline share; brand trust and tailoring/fit assurance matter; may rely on family recommendations.</w:t>
      </w:r>
    </w:p>
    <w:p w14:paraId="5A1FA88F">
      <w:pPr>
        <w:pStyle w:val="16"/>
      </w:pPr>
      <w:r>
        <w:t>Product attributes: opaque fabrics, conservative coverage, classic embellishments (gold embroidery) for formal events.</w:t>
      </w:r>
    </w:p>
    <w:p w14:paraId="73A636BE">
      <w:r>
        <w:rPr>
          <w:b/>
          <w:sz w:val="28"/>
        </w:rPr>
        <w:t>3. A1-2 City tier differences (Riyadh / Jeddah / Dammam vs smaller cities)</w:t>
      </w:r>
    </w:p>
    <w:p w14:paraId="04001653">
      <w:r>
        <w:t>Your V1 page already notes keyword-level differences (Riyadh more “modern abaya”, Jeddah more “designer abaya”, Eastern Province more traditional term share). This section converts that into operationally usable corpus units:</w:t>
      </w:r>
    </w:p>
    <w:p w14:paraId="01BE3AE8">
      <w:r>
        <w:rPr>
          <w:b/>
          <w:sz w:val="24"/>
        </w:rPr>
        <w:t>3.1 Riyadh (Central)</w:t>
      </w:r>
    </w:p>
    <w:p w14:paraId="65CFD9C6">
      <w:pPr>
        <w:pStyle w:val="16"/>
      </w:pPr>
      <w:r>
        <w:t>Demand signals: workwear modest, structured silhouettes, understated luxury; higher exposure to corporate environments and high-profile events (Riyadh Season).</w:t>
      </w:r>
    </w:p>
    <w:p w14:paraId="7FDEFF40">
      <w:pPr>
        <w:pStyle w:val="16"/>
      </w:pPr>
      <w:r>
        <w:t>Assortment recommendation: more minimal design abayas, premium neutrals, functional fabrics (anti-wrinkle/anti-odor), and capsule wardrobes for office + evening.</w:t>
      </w:r>
    </w:p>
    <w:p w14:paraId="70050A9E">
      <w:pPr>
        <w:pStyle w:val="16"/>
      </w:pPr>
      <w:r>
        <w:t>Copywriting keywords: “clean cut”, “tailored modest”, “easy-care”, “premium drape”, “office-ready”.</w:t>
      </w:r>
    </w:p>
    <w:p w14:paraId="1057ADB5">
      <w:r>
        <w:rPr>
          <w:b/>
          <w:sz w:val="24"/>
        </w:rPr>
        <w:t>3.2 Jeddah (Western / coastal)</w:t>
      </w:r>
    </w:p>
    <w:p w14:paraId="3C8C7CF6">
      <w:pPr>
        <w:pStyle w:val="16"/>
      </w:pPr>
      <w:r>
        <w:t>Demand signals: more cosmopolitan and style-forward; slightly more relaxed norms reported by expat/travel sources; stronger appetite for designer touches and color.</w:t>
      </w:r>
    </w:p>
    <w:p w14:paraId="3DB14BE7">
      <w:pPr>
        <w:pStyle w:val="16"/>
      </w:pPr>
      <w:r>
        <w:t>Assortment recommendation: open abayas, pastel and coastal palettes, breathable lightweight fabrics, fashion details (lace collar, embroidery accents) with controlled transparency.</w:t>
      </w:r>
    </w:p>
    <w:p w14:paraId="3C3F4A3C">
      <w:pPr>
        <w:pStyle w:val="16"/>
      </w:pPr>
      <w:r>
        <w:t>Copywriting keywords: “designer-inspired”, “coastal chic”, “lightweight”, “breathable”, “occasion-ready”.</w:t>
      </w:r>
    </w:p>
    <w:p w14:paraId="35B00623">
      <w:r>
        <w:rPr>
          <w:b/>
          <w:sz w:val="24"/>
        </w:rPr>
        <w:t>3.3 Dammam / Eastern Province</w:t>
      </w:r>
    </w:p>
    <w:p w14:paraId="79E07BD1">
      <w:pPr>
        <w:pStyle w:val="16"/>
      </w:pPr>
      <w:r>
        <w:t>Demand signals: comparatively more conservative/functional mix; climate (humidity) + commuting can increase preference for breathable, anti-odor, and easy-care fabrics.</w:t>
      </w:r>
    </w:p>
    <w:p w14:paraId="43EA6E52">
      <w:pPr>
        <w:pStyle w:val="16"/>
      </w:pPr>
      <w:r>
        <w:t>Assortment recommendation: classic black/deep solids, functional textiles, comfortable loose fits, durable hems and trims.</w:t>
      </w:r>
    </w:p>
    <w:p w14:paraId="15966A63">
      <w:pPr>
        <w:pStyle w:val="16"/>
      </w:pPr>
      <w:r>
        <w:t>Copywriting keywords: “classic”, “full coverage”, “breathable”, “anti-odor”, “everyday essential”.</w:t>
      </w:r>
    </w:p>
    <w:p w14:paraId="4F0ABB5A">
      <w:r>
        <w:rPr>
          <w:b/>
          <w:sz w:val="24"/>
        </w:rPr>
        <w:t>3.4 Smaller cities / non-metro areas</w:t>
      </w:r>
    </w:p>
    <w:p w14:paraId="07B627C9">
      <w:pPr>
        <w:pStyle w:val="16"/>
      </w:pPr>
      <w:r>
        <w:t>General assumption (validate with local data): more conservative adoption curve; higher offline reliance; fewer experimental colors.</w:t>
      </w:r>
    </w:p>
    <w:p w14:paraId="343D4507">
      <w:pPr>
        <w:pStyle w:val="16"/>
      </w:pPr>
      <w:r>
        <w:t>Go-to market: start with evergreen basics + modest-compliance assurance; then add limited seasonal capsules for Eid.</w:t>
      </w:r>
    </w:p>
    <w:p w14:paraId="6C447CB5">
      <w:r>
        <w:rPr>
          <w:b/>
          <w:sz w:val="28"/>
        </w:rPr>
        <w:t>4. A1-3 Life-stage segmentation (single / newly married / parents)</w:t>
      </w:r>
    </w:p>
    <w:p w14:paraId="20FE55C0">
      <w:r>
        <w:rPr>
          <w:b/>
          <w:sz w:val="24"/>
        </w:rPr>
        <w:t>4.1 Single</w:t>
      </w:r>
    </w:p>
    <w:p w14:paraId="6FB18611">
      <w:pPr>
        <w:pStyle w:val="16"/>
      </w:pPr>
      <w:r>
        <w:t>Higher experimentation (colors, silhouettes) and higher “social visibility” motivation; responds to trend drops and influencer styling.</w:t>
      </w:r>
    </w:p>
    <w:p w14:paraId="12D369C3">
      <w:pPr>
        <w:pStyle w:val="16"/>
      </w:pPr>
      <w:r>
        <w:t>Bundle opportunity: “complete look” sets (abaya + hijab + accessory).</w:t>
      </w:r>
    </w:p>
    <w:p w14:paraId="3041166C">
      <w:r>
        <w:rPr>
          <w:b/>
          <w:sz w:val="24"/>
        </w:rPr>
        <w:t>4.2 Newly married</w:t>
      </w:r>
    </w:p>
    <w:p w14:paraId="006C19BC">
      <w:pPr>
        <w:pStyle w:val="16"/>
      </w:pPr>
      <w:r>
        <w:t>Occasion-heavy wardrobe building (family gatherings, visits, celebrations).</w:t>
      </w:r>
    </w:p>
    <w:p w14:paraId="75AE65CD">
      <w:pPr>
        <w:pStyle w:val="16"/>
      </w:pPr>
      <w:r>
        <w:t>Demand for elevated fabrics and detail work (embroidery, satin panels) while staying modest; preference for photogenic outfits.</w:t>
      </w:r>
    </w:p>
    <w:p w14:paraId="775981B7">
      <w:r>
        <w:rPr>
          <w:b/>
          <w:sz w:val="24"/>
        </w:rPr>
        <w:t>4.3 Parents (especially mothers)</w:t>
      </w:r>
    </w:p>
    <w:p w14:paraId="41D5E9AE">
      <w:pPr>
        <w:pStyle w:val="16"/>
      </w:pPr>
      <w:r>
        <w:t>Time-saving and durability: easy-care, machine-wash friendly fabrics; pockets; sets that reduce styling effort.</w:t>
      </w:r>
    </w:p>
    <w:p w14:paraId="27FA64FB">
      <w:pPr>
        <w:pStyle w:val="16"/>
      </w:pPr>
      <w:r>
        <w:t>Category mix expands to childrenswear and coordinated family outfits (mother–daughter matching).</w:t>
      </w:r>
    </w:p>
    <w:p w14:paraId="1DDC29E5">
      <w:pPr>
        <w:pStyle w:val="16"/>
      </w:pPr>
      <w:r>
        <w:t>Seasonality: Eid periods drive childrenswear spikes; plan inventory 2–3 weeks ahead of Ramadan/Eid search peak.</w:t>
      </w:r>
    </w:p>
    <w:p w14:paraId="1494A335">
      <w:r>
        <w:rPr>
          <w:b/>
          <w:sz w:val="28"/>
        </w:rPr>
        <w:t>5. A1-4 Nationals vs expatriates: preference and operational impact</w:t>
      </w:r>
    </w:p>
    <w:p w14:paraId="4659CAFB">
      <w:r>
        <w:t>The 2024 Saudi fashion sector report explicitly frames “highly skilled expats” as an emerging demographic likely to expand the fashion consumer base and shift spending domestically for everyday needs. This affects assortment and product information design.</w:t>
      </w:r>
    </w:p>
    <w:p w14:paraId="68D7F058">
      <w:r>
        <w:rPr>
          <w:b/>
          <w:sz w:val="24"/>
        </w:rPr>
        <w:t>5.1 Expat-driven demand pockets</w:t>
      </w:r>
    </w:p>
    <w:p w14:paraId="16796C9E">
      <w:pPr>
        <w:pStyle w:val="16"/>
      </w:pPr>
      <w:r>
        <w:t>Everyday apparel and sportswear purchased locally for convenience; kidswear demand rises for relocating families.</w:t>
      </w:r>
    </w:p>
    <w:p w14:paraId="15505152">
      <w:pPr>
        <w:pStyle w:val="16"/>
      </w:pPr>
      <w:r>
        <w:t>More demand for global sizing conventions, clearer size charts, and bilingual (English/Arabic) content.</w:t>
      </w:r>
    </w:p>
    <w:p w14:paraId="1C797E8B">
      <w:pPr>
        <w:pStyle w:val="16"/>
      </w:pPr>
      <w:r>
        <w:t>Potentially higher demand for international casual wear categories alongside modest outerwear (layering pieces, longline shirts, wide-leg pants).</w:t>
      </w:r>
    </w:p>
    <w:p w14:paraId="36FFD896">
      <w:r>
        <w:rPr>
          <w:b/>
          <w:sz w:val="24"/>
        </w:rPr>
        <w:t>5.2 Nationals (baseline)</w:t>
      </w:r>
    </w:p>
    <w:p w14:paraId="6A30E715">
      <w:pPr>
        <w:pStyle w:val="16"/>
      </w:pPr>
      <w:r>
        <w:t>Strong cultural pride and continued centrality of traditional silhouettes (abaya, thobe) even as modern design language expands.</w:t>
      </w:r>
    </w:p>
    <w:p w14:paraId="39BA3EFD">
      <w:pPr>
        <w:pStyle w:val="16"/>
      </w:pPr>
      <w:r>
        <w:t>Modest compliance remains the “non-negotiable”; design innovation is often expressed via details (embroidery, trims, hardware) rather than revealing cuts.</w:t>
      </w:r>
    </w:p>
    <w:p w14:paraId="2487A4B5">
      <w:r>
        <w:rPr>
          <w:b/>
          <w:sz w:val="28"/>
        </w:rPr>
        <w:t>6. Corpus-ready units (copy/paste into your JSON schema)</w:t>
      </w:r>
    </w:p>
    <w:p w14:paraId="3FA06772">
      <w:r>
        <w:t>Below are sample corpus units written in your preferred structure. Replace/extend with quantified metrics when you add paid datasets (Statista Consumer Insights, YouGov, panel surveys).</w:t>
      </w:r>
    </w:p>
    <w:tbl>
      <w:tblPr>
        <w:tblStyle w:val="32"/>
        <w:tblW w:w="8856" w:type="dxa"/>
        <w:jc w:val="center"/>
        <w:tblLayout w:type="autofit"/>
        <w:tblCellMar>
          <w:top w:w="0" w:type="dxa"/>
          <w:left w:w="108" w:type="dxa"/>
          <w:bottom w:w="0" w:type="dxa"/>
          <w:right w:w="108" w:type="dxa"/>
        </w:tblCellMar>
      </w:tblPr>
      <w:tblGrid>
        <w:gridCol w:w="1052"/>
        <w:gridCol w:w="1881"/>
        <w:gridCol w:w="2843"/>
        <w:gridCol w:w="780"/>
        <w:gridCol w:w="2300"/>
      </w:tblGrid>
      <w:tr w14:paraId="115B00F8">
        <w:tblPrEx>
          <w:tblCellMar>
            <w:top w:w="0" w:type="dxa"/>
            <w:left w:w="108" w:type="dxa"/>
            <w:bottom w:w="0" w:type="dxa"/>
            <w:right w:w="108" w:type="dxa"/>
          </w:tblCellMar>
        </w:tblPrEx>
        <w:trPr>
          <w:trHeight w:val="0" w:hRule="atLeast"/>
          <w:tblHeader/>
          <w:jc w:val="center"/>
        </w:trPr>
        <w:tc>
          <w:tcPr>
            <w:tcW w:w="0" w:type="auto"/>
            <w:vAlign w:val="center"/>
          </w:tcPr>
          <w:p w14:paraId="09ED8578">
            <w:pPr>
              <w:snapToGrid w:val="0"/>
              <w:spacing w:line="240" w:lineRule="auto"/>
              <w:ind w:left="0" w:leftChars="0" w:right="0" w:rightChars="0" w:firstLine="0" w:firstLineChars="0"/>
              <w:jc w:val="center"/>
              <w:rPr>
                <w:b/>
              </w:rPr>
            </w:pPr>
            <w:bookmarkStart w:id="0" w:name="_GoBack"/>
            <w:bookmarkEnd w:id="0"/>
            <w:r>
              <w:rPr>
                <w:b/>
              </w:rPr>
              <w:t>id</w:t>
            </w:r>
          </w:p>
        </w:tc>
        <w:tc>
          <w:tcPr>
            <w:tcW w:w="0" w:type="auto"/>
            <w:vAlign w:val="center"/>
          </w:tcPr>
          <w:p w14:paraId="3342D129">
            <w:pPr>
              <w:snapToGrid w:val="0"/>
              <w:spacing w:line="240" w:lineRule="auto"/>
              <w:ind w:left="0" w:leftChars="0" w:right="0" w:rightChars="0" w:firstLine="0" w:firstLineChars="0"/>
              <w:jc w:val="center"/>
              <w:rPr>
                <w:b/>
              </w:rPr>
            </w:pPr>
            <w:r>
              <w:rPr>
                <w:b/>
              </w:rPr>
              <w:t>tag</w:t>
            </w:r>
          </w:p>
        </w:tc>
        <w:tc>
          <w:tcPr>
            <w:tcW w:w="0" w:type="auto"/>
            <w:vAlign w:val="center"/>
          </w:tcPr>
          <w:p w14:paraId="57C0B7AC">
            <w:pPr>
              <w:snapToGrid w:val="0"/>
              <w:spacing w:line="240" w:lineRule="auto"/>
              <w:ind w:left="0" w:leftChars="0" w:right="0" w:rightChars="0" w:firstLine="0" w:firstLineChars="0"/>
              <w:jc w:val="center"/>
              <w:rPr>
                <w:b/>
              </w:rPr>
            </w:pPr>
            <w:r>
              <w:rPr>
                <w:b/>
              </w:rPr>
              <w:t>statement</w:t>
            </w:r>
          </w:p>
        </w:tc>
        <w:tc>
          <w:tcPr>
            <w:tcW w:w="0" w:type="auto"/>
            <w:vAlign w:val="center"/>
          </w:tcPr>
          <w:p w14:paraId="5F073BB1">
            <w:pPr>
              <w:snapToGrid w:val="0"/>
              <w:spacing w:line="240" w:lineRule="auto"/>
              <w:ind w:left="0" w:leftChars="0" w:right="0" w:rightChars="0" w:firstLine="0" w:firstLineChars="0"/>
              <w:jc w:val="center"/>
              <w:rPr>
                <w:b/>
              </w:rPr>
            </w:pPr>
            <w:r>
              <w:rPr>
                <w:b/>
              </w:rPr>
              <w:t>value</w:t>
            </w:r>
          </w:p>
        </w:tc>
        <w:tc>
          <w:tcPr>
            <w:tcW w:w="2300" w:type="dxa"/>
            <w:vAlign w:val="center"/>
          </w:tcPr>
          <w:p w14:paraId="7E893305">
            <w:pPr>
              <w:snapToGrid w:val="0"/>
              <w:spacing w:line="240" w:lineRule="auto"/>
              <w:ind w:left="0" w:leftChars="0" w:right="0" w:rightChars="0" w:firstLine="0" w:firstLineChars="0"/>
              <w:jc w:val="center"/>
              <w:rPr>
                <w:b/>
              </w:rPr>
            </w:pPr>
            <w:r>
              <w:rPr>
                <w:b/>
              </w:rPr>
              <w:t>source</w:t>
            </w:r>
          </w:p>
        </w:tc>
      </w:tr>
      <w:tr w14:paraId="6362ABA5">
        <w:tblPrEx>
          <w:tblCellMar>
            <w:top w:w="0" w:type="dxa"/>
            <w:left w:w="108" w:type="dxa"/>
            <w:bottom w:w="0" w:type="dxa"/>
            <w:right w:w="108" w:type="dxa"/>
          </w:tblCellMar>
        </w:tblPrEx>
        <w:trPr>
          <w:trHeight w:val="0" w:hRule="atLeast"/>
          <w:jc w:val="center"/>
        </w:trPr>
        <w:tc>
          <w:tcPr>
            <w:tcW w:w="0" w:type="auto"/>
            <w:vAlign w:val="center"/>
          </w:tcPr>
          <w:p w14:paraId="001F8897">
            <w:pPr>
              <w:snapToGrid w:val="0"/>
              <w:spacing w:line="240" w:lineRule="auto"/>
              <w:ind w:left="0" w:leftChars="0" w:right="0" w:rightChars="0" w:firstLine="0" w:firstLineChars="0"/>
              <w:jc w:val="center"/>
            </w:pPr>
            <w:r>
              <w:t>A1-AGE-01</w:t>
            </w:r>
          </w:p>
        </w:tc>
        <w:tc>
          <w:tcPr>
            <w:tcW w:w="0" w:type="auto"/>
            <w:vAlign w:val="center"/>
          </w:tcPr>
          <w:p w14:paraId="2F379975">
            <w:pPr>
              <w:snapToGrid w:val="0"/>
              <w:spacing w:line="240" w:lineRule="auto"/>
              <w:ind w:left="0" w:leftChars="0" w:right="0" w:rightChars="0" w:firstLine="0" w:firstLineChars="0"/>
              <w:jc w:val="center"/>
            </w:pPr>
            <w:r>
              <w:t>Age 18–24 · trend adoption</w:t>
            </w:r>
          </w:p>
        </w:tc>
        <w:tc>
          <w:tcPr>
            <w:tcW w:w="0" w:type="auto"/>
            <w:vAlign w:val="center"/>
          </w:tcPr>
          <w:p w14:paraId="266EA800">
            <w:pPr>
              <w:snapToGrid w:val="0"/>
              <w:spacing w:line="240" w:lineRule="auto"/>
              <w:ind w:left="0" w:leftChars="0" w:right="0" w:rightChars="0" w:firstLine="0" w:firstLineChars="0"/>
              <w:jc w:val="left"/>
            </w:pPr>
            <w:r>
              <w:t>18–24岁更容易接受彩色/粉彩与open abaya等“现代化”款式，并受社媒种草驱动；产品应强调“时尚但端庄（modest）”与轻薄透气。</w:t>
            </w:r>
          </w:p>
        </w:tc>
        <w:tc>
          <w:tcPr>
            <w:tcW w:w="0" w:type="auto"/>
            <w:vAlign w:val="center"/>
          </w:tcPr>
          <w:p w14:paraId="370881D6">
            <w:pPr>
              <w:snapToGrid w:val="0"/>
              <w:spacing w:line="240" w:lineRule="auto"/>
              <w:ind w:left="0" w:leftChars="0" w:right="0" w:rightChars="0" w:firstLine="0" w:firstLineChars="0"/>
              <w:jc w:val="left"/>
            </w:pPr>
          </w:p>
        </w:tc>
        <w:tc>
          <w:tcPr>
            <w:tcW w:w="2300" w:type="dxa"/>
            <w:vAlign w:val="center"/>
          </w:tcPr>
          <w:p w14:paraId="77F9CE4E">
            <w:pPr>
              <w:snapToGrid w:val="0"/>
              <w:spacing w:line="240" w:lineRule="auto"/>
              <w:ind w:left="0" w:leftChars="0" w:right="0" w:rightChars="0" w:firstLine="0" w:firstLineChars="0"/>
              <w:jc w:val="center"/>
            </w:pPr>
            <w:r>
              <w:t>Saudi Fashion Commission 2024 report (demographics context) + social trend inference</w:t>
            </w:r>
          </w:p>
        </w:tc>
      </w:tr>
      <w:tr w14:paraId="06D96F9E">
        <w:tblPrEx>
          <w:tblCellMar>
            <w:top w:w="0" w:type="dxa"/>
            <w:left w:w="108" w:type="dxa"/>
            <w:bottom w:w="0" w:type="dxa"/>
            <w:right w:w="108" w:type="dxa"/>
          </w:tblCellMar>
        </w:tblPrEx>
        <w:trPr>
          <w:trHeight w:val="0" w:hRule="atLeast"/>
          <w:jc w:val="center"/>
        </w:trPr>
        <w:tc>
          <w:tcPr>
            <w:tcW w:w="0" w:type="auto"/>
            <w:vAlign w:val="center"/>
          </w:tcPr>
          <w:p w14:paraId="7B1671BB">
            <w:pPr>
              <w:snapToGrid w:val="0"/>
              <w:spacing w:line="240" w:lineRule="auto"/>
              <w:ind w:left="0" w:leftChars="0" w:right="0" w:rightChars="0" w:firstLine="0" w:firstLineChars="0"/>
              <w:jc w:val="center"/>
            </w:pPr>
            <w:r>
              <w:t>A1-CITY-01</w:t>
            </w:r>
          </w:p>
        </w:tc>
        <w:tc>
          <w:tcPr>
            <w:tcW w:w="0" w:type="auto"/>
            <w:vAlign w:val="center"/>
          </w:tcPr>
          <w:p w14:paraId="510A5D4D">
            <w:pPr>
              <w:snapToGrid w:val="0"/>
              <w:spacing w:line="240" w:lineRule="auto"/>
              <w:ind w:left="0" w:leftChars="0" w:right="0" w:rightChars="0" w:firstLine="0" w:firstLineChars="0"/>
              <w:jc w:val="center"/>
            </w:pPr>
            <w:r>
              <w:t>City · Riyadh workwear signal</w:t>
            </w:r>
          </w:p>
        </w:tc>
        <w:tc>
          <w:tcPr>
            <w:tcW w:w="0" w:type="auto"/>
            <w:vAlign w:val="center"/>
          </w:tcPr>
          <w:p w14:paraId="68108C58">
            <w:pPr>
              <w:snapToGrid w:val="0"/>
              <w:spacing w:line="240" w:lineRule="auto"/>
              <w:ind w:left="0" w:leftChars="0" w:right="0" w:rightChars="0" w:firstLine="0" w:firstLineChars="0"/>
              <w:jc w:val="left"/>
            </w:pPr>
            <w:r>
              <w:t>Riyadh 场景更偏“职场/正式活动”，更容易接受利落剪裁、极简设计与功能面料（抗皱/抗菌/凉感）的 abaya/workwear modest。</w:t>
            </w:r>
          </w:p>
        </w:tc>
        <w:tc>
          <w:tcPr>
            <w:tcW w:w="0" w:type="auto"/>
            <w:vAlign w:val="center"/>
          </w:tcPr>
          <w:p w14:paraId="3909413C">
            <w:pPr>
              <w:snapToGrid w:val="0"/>
              <w:spacing w:line="240" w:lineRule="auto"/>
              <w:ind w:left="0" w:leftChars="0" w:right="0" w:rightChars="0" w:firstLine="0" w:firstLineChars="0"/>
              <w:jc w:val="left"/>
            </w:pPr>
          </w:p>
        </w:tc>
        <w:tc>
          <w:tcPr>
            <w:tcW w:w="2300" w:type="dxa"/>
            <w:vAlign w:val="center"/>
          </w:tcPr>
          <w:p w14:paraId="64EB0140">
            <w:pPr>
              <w:snapToGrid w:val="0"/>
              <w:spacing w:line="240" w:lineRule="auto"/>
              <w:ind w:left="0" w:leftChars="0" w:right="0" w:rightChars="0" w:firstLine="0" w:firstLineChars="0"/>
              <w:jc w:val="center"/>
            </w:pPr>
            <w:r>
              <w:t>Notion V1 + qualitative city culture sources</w:t>
            </w:r>
          </w:p>
        </w:tc>
      </w:tr>
      <w:tr w14:paraId="60EA549A">
        <w:tblPrEx>
          <w:tblCellMar>
            <w:top w:w="0" w:type="dxa"/>
            <w:left w:w="108" w:type="dxa"/>
            <w:bottom w:w="0" w:type="dxa"/>
            <w:right w:w="108" w:type="dxa"/>
          </w:tblCellMar>
        </w:tblPrEx>
        <w:trPr>
          <w:trHeight w:val="0" w:hRule="atLeast"/>
          <w:jc w:val="center"/>
        </w:trPr>
        <w:tc>
          <w:tcPr>
            <w:tcW w:w="0" w:type="auto"/>
            <w:vAlign w:val="center"/>
          </w:tcPr>
          <w:p w14:paraId="0AB73B56">
            <w:pPr>
              <w:snapToGrid w:val="0"/>
              <w:spacing w:line="240" w:lineRule="auto"/>
              <w:ind w:left="0" w:leftChars="0" w:right="0" w:rightChars="0" w:firstLine="0" w:firstLineChars="0"/>
              <w:jc w:val="center"/>
            </w:pPr>
            <w:r>
              <w:t>A1-LIFE-01</w:t>
            </w:r>
          </w:p>
        </w:tc>
        <w:tc>
          <w:tcPr>
            <w:tcW w:w="0" w:type="auto"/>
            <w:vAlign w:val="center"/>
          </w:tcPr>
          <w:p w14:paraId="5D36F4EA">
            <w:pPr>
              <w:snapToGrid w:val="0"/>
              <w:spacing w:line="240" w:lineRule="auto"/>
              <w:ind w:left="0" w:leftChars="0" w:right="0" w:rightChars="0" w:firstLine="0" w:firstLineChars="0"/>
              <w:jc w:val="center"/>
            </w:pPr>
            <w:r>
              <w:t>Life stage · parents</w:t>
            </w:r>
          </w:p>
        </w:tc>
        <w:tc>
          <w:tcPr>
            <w:tcW w:w="0" w:type="auto"/>
            <w:vAlign w:val="center"/>
          </w:tcPr>
          <w:p w14:paraId="3750D358">
            <w:pPr>
              <w:snapToGrid w:val="0"/>
              <w:spacing w:line="240" w:lineRule="auto"/>
              <w:ind w:left="0" w:leftChars="0" w:right="0" w:rightChars="0" w:firstLine="0" w:firstLineChars="0"/>
              <w:jc w:val="left"/>
            </w:pPr>
            <w:r>
              <w:t>育儿家庭更偏好“易打理+耐穿+口袋+套装化”服饰，同时带动儿童装与亲子同款需求；节庆前备货窗口应提前到斋月前2–3周。</w:t>
            </w:r>
          </w:p>
        </w:tc>
        <w:tc>
          <w:tcPr>
            <w:tcW w:w="0" w:type="auto"/>
            <w:vAlign w:val="center"/>
          </w:tcPr>
          <w:p w14:paraId="4BAC21E7">
            <w:pPr>
              <w:snapToGrid w:val="0"/>
              <w:spacing w:line="240" w:lineRule="auto"/>
              <w:ind w:left="0" w:leftChars="0" w:right="0" w:rightChars="0" w:firstLine="0" w:firstLineChars="0"/>
              <w:jc w:val="left"/>
            </w:pPr>
          </w:p>
        </w:tc>
        <w:tc>
          <w:tcPr>
            <w:tcW w:w="2300" w:type="dxa"/>
            <w:vAlign w:val="center"/>
          </w:tcPr>
          <w:p w14:paraId="43E92E4D">
            <w:pPr>
              <w:snapToGrid w:val="0"/>
              <w:spacing w:line="240" w:lineRule="auto"/>
              <w:ind w:left="0" w:leftChars="0" w:right="0" w:rightChars="0" w:firstLine="0" w:firstLineChars="0"/>
              <w:jc w:val="center"/>
            </w:pPr>
            <w:r>
              <w:t>Notion V1 (Eid peak) + general retail logic</w:t>
            </w:r>
          </w:p>
        </w:tc>
      </w:tr>
      <w:tr w14:paraId="5C59C176">
        <w:tblPrEx>
          <w:tblCellMar>
            <w:top w:w="0" w:type="dxa"/>
            <w:left w:w="108" w:type="dxa"/>
            <w:bottom w:w="0" w:type="dxa"/>
            <w:right w:w="108" w:type="dxa"/>
          </w:tblCellMar>
        </w:tblPrEx>
        <w:trPr>
          <w:trHeight w:val="0" w:hRule="atLeast"/>
          <w:jc w:val="center"/>
        </w:trPr>
        <w:tc>
          <w:tcPr>
            <w:tcW w:w="1052" w:type="dxa"/>
            <w:vAlign w:val="center"/>
          </w:tcPr>
          <w:p w14:paraId="5B6A722F">
            <w:pPr>
              <w:snapToGrid w:val="0"/>
              <w:spacing w:line="240" w:lineRule="auto"/>
              <w:ind w:left="0" w:leftChars="0" w:right="0" w:rightChars="0" w:firstLine="0" w:firstLineChars="0"/>
              <w:jc w:val="center"/>
            </w:pPr>
            <w:r>
              <w:t>A1-EXPAT-01</w:t>
            </w:r>
          </w:p>
        </w:tc>
        <w:tc>
          <w:tcPr>
            <w:tcW w:w="1881" w:type="dxa"/>
            <w:vAlign w:val="center"/>
          </w:tcPr>
          <w:p w14:paraId="0158C866">
            <w:pPr>
              <w:snapToGrid w:val="0"/>
              <w:spacing w:line="240" w:lineRule="auto"/>
              <w:ind w:left="0" w:leftChars="0" w:right="0" w:rightChars="0" w:firstLine="0" w:firstLineChars="0"/>
              <w:jc w:val="center"/>
            </w:pPr>
            <w:r>
              <w:t>Expat segment · local spending shift</w:t>
            </w:r>
          </w:p>
        </w:tc>
        <w:tc>
          <w:tcPr>
            <w:tcW w:w="2843" w:type="dxa"/>
            <w:vAlign w:val="center"/>
          </w:tcPr>
          <w:p w14:paraId="2A7BF1AA">
            <w:pPr>
              <w:snapToGrid w:val="0"/>
              <w:spacing w:line="240" w:lineRule="auto"/>
              <w:ind w:left="0" w:leftChars="0" w:right="0" w:rightChars="0" w:firstLine="0" w:firstLineChars="0"/>
              <w:jc w:val="left"/>
            </w:pPr>
            <w:r>
              <w:t>随着高技能外籍人口增长，日常服饰、童装、美妆与运动装的本地购买占比预计提升；需要更清晰的尺码表与英阿双语信息以降低退货。</w:t>
            </w:r>
          </w:p>
        </w:tc>
        <w:tc>
          <w:tcPr>
            <w:tcW w:w="780" w:type="dxa"/>
            <w:vAlign w:val="center"/>
          </w:tcPr>
          <w:p w14:paraId="66108146">
            <w:pPr>
              <w:snapToGrid w:val="0"/>
              <w:spacing w:line="240" w:lineRule="auto"/>
              <w:ind w:left="0" w:leftChars="0" w:right="0" w:rightChars="0" w:firstLine="0" w:firstLineChars="0"/>
              <w:jc w:val="left"/>
            </w:pPr>
          </w:p>
        </w:tc>
        <w:tc>
          <w:tcPr>
            <w:tcW w:w="2300" w:type="dxa"/>
            <w:vAlign w:val="center"/>
          </w:tcPr>
          <w:p w14:paraId="659ADC63">
            <w:pPr>
              <w:snapToGrid w:val="0"/>
              <w:spacing w:line="240" w:lineRule="auto"/>
              <w:ind w:left="0" w:leftChars="0" w:right="0" w:rightChars="0" w:firstLine="0" w:firstLineChars="0"/>
              <w:jc w:val="center"/>
            </w:pPr>
            <w:r>
              <w:t>Saudi Fashion Commission 2024 report (expat section)</w:t>
            </w:r>
          </w:p>
        </w:tc>
      </w:tr>
    </w:tbl>
    <w:p w14:paraId="5FA968B7">
      <w:r>
        <w:rPr>
          <w:b/>
          <w:sz w:val="28"/>
        </w:rPr>
        <w:t>7. Source links (for later verification)</w:t>
      </w:r>
    </w:p>
    <w:p w14:paraId="72F1FCF2">
      <w:pPr>
        <w:pStyle w:val="16"/>
      </w:pPr>
      <w:r>
        <w:t>Saudi Fashion Commission (PDF): https://saudi-fashion-co.objects.frb.io/2024_Saudi_State_of_Fashion_Report.pdf</w:t>
      </w:r>
    </w:p>
    <w:p w14:paraId="6F48347A">
      <w:pPr>
        <w:pStyle w:val="16"/>
      </w:pPr>
      <w:r>
        <w:t>McKinsey (PDF): https://www.mckinsey.com/~/media/mckinsey/industries/retail/our%20insights/meet%20the%20new%20saudi%20consumer%20ten%20trends%20shaping%20a%20fast-evolving%20market/meet-the-new-saudi-consumer-ten-trends-shaping-a-fast-evolving-market.pdf</w:t>
      </w:r>
    </w:p>
    <w:p w14:paraId="73EBE3C2">
      <w:pPr>
        <w:pStyle w:val="16"/>
      </w:pPr>
      <w:r>
        <w:t>Expat Focus (qualitative regional strictness): https://www.expatfocus.com/saudi-arabia/articles/buying-clothes-in-saudi-arabia-an-introductory-guide-1942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E71A5"/>
    <w:rsid w:val="43FF55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1395</Words>
  <Characters>8756</Characters>
  <Lines>0</Lines>
  <Paragraphs>0</Paragraphs>
  <TotalTime>0</TotalTime>
  <ScaleCrop>false</ScaleCrop>
  <LinksUpToDate>false</LinksUpToDate>
  <CharactersWithSpaces>9841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珍妮</cp:lastModifiedBy>
  <dcterms:modified xsi:type="dcterms:W3CDTF">2026-06-07T01:58:33Z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A3ABB901E4DD43E8B6E491A98AE24D31_13</vt:lpwstr>
  </property>
  <property fmtid="{D5CDD505-2E9C-101B-9397-08002B2CF9AE}" pid="4" name="KSOTemplateDocerSaveRecord">
    <vt:lpwstr>eyJoZGlkIjoiNjVmZjhmZWViN2JmZDBlZGNiNWY5YzJkYmM5ZGQwOWMiLCJ1c2VySWQiOiI0NzE5OTM4NjUifQ==</vt:lpwstr>
  </property>
</Properties>
</file>